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AD561" w14:textId="17FF6CAF" w:rsidR="002E3647" w:rsidRPr="00E242D2" w:rsidRDefault="0068114B" w:rsidP="002E3647">
      <w:pPr>
        <w:ind w:left="-567" w:right="-1680"/>
        <w:jc w:val="center"/>
        <w:rPr>
          <w:rFonts w:asciiTheme="minorHAnsi" w:hAnsiTheme="minorHAnsi" w:cstheme="minorHAnsi"/>
          <w:color w:val="575756" w:themeColor="background2"/>
          <w:sz w:val="20"/>
          <w:szCs w:val="20"/>
        </w:rPr>
      </w:pPr>
      <w:r w:rsidRPr="00E242D2">
        <w:rPr>
          <w:rFonts w:asciiTheme="minorHAnsi" w:hAnsiTheme="minorHAnsi" w:cstheme="minorHAnsi"/>
          <w:color w:val="575756" w:themeColor="background2"/>
          <w:sz w:val="20"/>
          <w:szCs w:val="20"/>
        </w:rPr>
        <w:t xml:space="preserve"> </w:t>
      </w:r>
    </w:p>
    <w:p w14:paraId="0AA89BEB" w14:textId="77777777" w:rsidR="007233C2" w:rsidRPr="00E242D2" w:rsidRDefault="007233C2" w:rsidP="002E3647">
      <w:pPr>
        <w:ind w:left="-567" w:right="-1680"/>
        <w:jc w:val="center"/>
        <w:rPr>
          <w:rFonts w:asciiTheme="minorHAnsi" w:hAnsiTheme="minorHAnsi" w:cstheme="minorHAnsi"/>
          <w:color w:val="575756" w:themeColor="background2"/>
          <w:sz w:val="20"/>
          <w:szCs w:val="20"/>
        </w:rPr>
      </w:pPr>
    </w:p>
    <w:p w14:paraId="01724A43"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46BD8CBF"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70CD51D0" w14:textId="47266F80" w:rsidR="002E3647" w:rsidRPr="00E242D2" w:rsidRDefault="000A593C" w:rsidP="002E3647">
      <w:pPr>
        <w:ind w:left="-567" w:right="-1680"/>
        <w:jc w:val="center"/>
        <w:rPr>
          <w:rFonts w:asciiTheme="minorHAnsi" w:hAnsiTheme="minorHAnsi" w:cstheme="minorHAnsi"/>
          <w:color w:val="575756" w:themeColor="background2"/>
          <w:sz w:val="20"/>
          <w:szCs w:val="20"/>
        </w:rPr>
      </w:pPr>
      <w:r w:rsidRPr="00E242D2">
        <w:rPr>
          <w:noProof/>
        </w:rPr>
        <w:drawing>
          <wp:inline distT="0" distB="0" distL="0" distR="0" wp14:anchorId="150F61A7" wp14:editId="3B6C5C87">
            <wp:extent cx="2438400" cy="24384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0FC89998"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1DB9079B"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5E657F4D"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76D19D70"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6291C42D"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0D1FE12C"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1B0DFAE7"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025F1FF3"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16597151" w14:textId="77777777" w:rsidR="002E3647" w:rsidRPr="00E242D2" w:rsidRDefault="002E3647" w:rsidP="002E3647">
      <w:pPr>
        <w:ind w:left="-567" w:right="-1680"/>
        <w:jc w:val="center"/>
        <w:rPr>
          <w:rFonts w:asciiTheme="minorHAnsi" w:hAnsiTheme="minorHAnsi" w:cstheme="minorHAnsi"/>
          <w:color w:val="575756" w:themeColor="background2"/>
          <w:sz w:val="20"/>
          <w:szCs w:val="20"/>
        </w:rPr>
      </w:pPr>
    </w:p>
    <w:p w14:paraId="005CE136" w14:textId="55D9FDD4" w:rsidR="002E3647" w:rsidRPr="00E242D2" w:rsidRDefault="002E3647" w:rsidP="00850518">
      <w:pPr>
        <w:ind w:right="-930"/>
        <w:jc w:val="center"/>
        <w:rPr>
          <w:rFonts w:ascii="Open Sans SemiBold" w:hAnsi="Open Sans SemiBold" w:cs="Open Sans SemiBold"/>
          <w:bCs/>
          <w:color w:val="3369A9"/>
          <w:sz w:val="40"/>
          <w:szCs w:val="26"/>
        </w:rPr>
      </w:pPr>
      <w:r w:rsidRPr="00E242D2">
        <w:rPr>
          <w:rFonts w:ascii="Open Sans SemiBold" w:hAnsi="Open Sans SemiBold" w:cs="Open Sans SemiBold"/>
          <w:bCs/>
          <w:color w:val="3369A9"/>
          <w:sz w:val="40"/>
          <w:szCs w:val="26"/>
        </w:rPr>
        <w:t xml:space="preserve">CIPC XBRL Taxonomy </w:t>
      </w:r>
      <w:r w:rsidR="0068114B" w:rsidRPr="00E242D2">
        <w:rPr>
          <w:rFonts w:ascii="Open Sans SemiBold" w:hAnsi="Open Sans SemiBold" w:cs="Open Sans SemiBold"/>
          <w:bCs/>
          <w:color w:val="3369A9"/>
          <w:sz w:val="40"/>
          <w:szCs w:val="26"/>
        </w:rPr>
        <w:t>20</w:t>
      </w:r>
      <w:r w:rsidR="00F14DB2" w:rsidRPr="00E242D2">
        <w:rPr>
          <w:rFonts w:ascii="Open Sans SemiBold" w:hAnsi="Open Sans SemiBold" w:cs="Open Sans SemiBold"/>
          <w:bCs/>
          <w:color w:val="3369A9"/>
          <w:sz w:val="40"/>
          <w:szCs w:val="26"/>
        </w:rPr>
        <w:t>2</w:t>
      </w:r>
      <w:r w:rsidR="002447D3" w:rsidRPr="00E242D2">
        <w:rPr>
          <w:rFonts w:ascii="Open Sans SemiBold" w:hAnsi="Open Sans SemiBold" w:cs="Open Sans SemiBold"/>
          <w:bCs/>
          <w:color w:val="3369A9"/>
          <w:sz w:val="40"/>
          <w:szCs w:val="26"/>
        </w:rPr>
        <w:t>5</w:t>
      </w:r>
      <w:r w:rsidR="0068114B" w:rsidRPr="00E242D2">
        <w:rPr>
          <w:rFonts w:ascii="Open Sans SemiBold" w:hAnsi="Open Sans SemiBold" w:cs="Open Sans SemiBold"/>
          <w:bCs/>
          <w:color w:val="3369A9"/>
          <w:sz w:val="40"/>
          <w:szCs w:val="26"/>
        </w:rPr>
        <w:t xml:space="preserve"> </w:t>
      </w:r>
      <w:r w:rsidRPr="00E242D2">
        <w:rPr>
          <w:rFonts w:ascii="Open Sans SemiBold" w:hAnsi="Open Sans SemiBold" w:cs="Open Sans SemiBold"/>
          <w:bCs/>
          <w:color w:val="3369A9"/>
          <w:sz w:val="40"/>
          <w:szCs w:val="26"/>
        </w:rPr>
        <w:t>Gap Analysis</w:t>
      </w:r>
    </w:p>
    <w:p w14:paraId="06388241" w14:textId="7D3CCCF1" w:rsidR="002E3647" w:rsidRPr="00E242D2" w:rsidRDefault="002E3647" w:rsidP="00850518">
      <w:pPr>
        <w:pStyle w:val="Secondtitle"/>
        <w:ind w:left="0" w:right="-930"/>
        <w:jc w:val="center"/>
        <w:rPr>
          <w:color w:val="575756" w:themeColor="background2"/>
          <w:lang w:val="en-GB"/>
        </w:rPr>
      </w:pPr>
      <w:r w:rsidRPr="00E242D2">
        <w:rPr>
          <w:color w:val="575756" w:themeColor="background2"/>
          <w:lang w:val="en-GB"/>
        </w:rPr>
        <w:t xml:space="preserve">Under CIPC Contract No.: CIPC Tender </w:t>
      </w:r>
      <w:r w:rsidR="00B054B7" w:rsidRPr="00E242D2">
        <w:rPr>
          <w:color w:val="575756" w:themeColor="background2"/>
          <w:lang w:val="en-GB"/>
        </w:rPr>
        <w:t>1</w:t>
      </w:r>
      <w:r w:rsidR="000D16CB" w:rsidRPr="00E242D2">
        <w:rPr>
          <w:color w:val="575756" w:themeColor="background2"/>
          <w:lang w:val="en-GB"/>
        </w:rPr>
        <w:t>7/202</w:t>
      </w:r>
      <w:r w:rsidR="00B054B7" w:rsidRPr="00E242D2">
        <w:rPr>
          <w:color w:val="575756" w:themeColor="background2"/>
          <w:lang w:val="en-GB"/>
        </w:rPr>
        <w:t>3</w:t>
      </w:r>
      <w:r w:rsidR="000D16CB" w:rsidRPr="00E242D2">
        <w:rPr>
          <w:color w:val="575756" w:themeColor="background2"/>
          <w:lang w:val="en-GB"/>
        </w:rPr>
        <w:t>/202</w:t>
      </w:r>
      <w:r w:rsidR="00B054B7" w:rsidRPr="00E242D2">
        <w:rPr>
          <w:color w:val="575756" w:themeColor="background2"/>
          <w:lang w:val="en-GB"/>
        </w:rPr>
        <w:t>4</w:t>
      </w:r>
    </w:p>
    <w:p w14:paraId="40E99C7B" w14:textId="77777777" w:rsidR="002E3647" w:rsidRPr="00E242D2" w:rsidRDefault="002E3647" w:rsidP="002E3647">
      <w:pPr>
        <w:pStyle w:val="Secondtitle"/>
        <w:rPr>
          <w:lang w:val="en-GB"/>
        </w:rPr>
      </w:pPr>
    </w:p>
    <w:p w14:paraId="5D24EA9E" w14:textId="77777777" w:rsidR="002E3647" w:rsidRPr="00E242D2" w:rsidRDefault="002E3647" w:rsidP="002E3647">
      <w:pPr>
        <w:pStyle w:val="Secondtitle"/>
        <w:rPr>
          <w:lang w:val="en-GB"/>
        </w:rPr>
      </w:pPr>
    </w:p>
    <w:p w14:paraId="6C49917A" w14:textId="77777777" w:rsidR="002E3647" w:rsidRPr="00E242D2" w:rsidRDefault="002E3647" w:rsidP="002E3647">
      <w:pPr>
        <w:pStyle w:val="Secondtitle"/>
        <w:rPr>
          <w:lang w:val="en-GB"/>
        </w:rPr>
      </w:pPr>
    </w:p>
    <w:p w14:paraId="5D5EEC9B" w14:textId="77777777" w:rsidR="002E3647" w:rsidRPr="00E242D2" w:rsidRDefault="002E3647" w:rsidP="002E3647">
      <w:pPr>
        <w:pStyle w:val="Secondtitle"/>
        <w:rPr>
          <w:lang w:val="en-GB"/>
        </w:rPr>
      </w:pPr>
    </w:p>
    <w:p w14:paraId="1DA7D6BE" w14:textId="77777777" w:rsidR="002E3647" w:rsidRPr="00E242D2" w:rsidRDefault="002E3647" w:rsidP="002E3647">
      <w:pPr>
        <w:pStyle w:val="Secondtitle"/>
        <w:rPr>
          <w:lang w:val="en-GB"/>
        </w:rPr>
      </w:pPr>
    </w:p>
    <w:p w14:paraId="4AE60818" w14:textId="77777777" w:rsidR="002E3647" w:rsidRPr="00E242D2" w:rsidRDefault="002E3647" w:rsidP="002E3647">
      <w:pPr>
        <w:pStyle w:val="Secondtitle"/>
        <w:rPr>
          <w:lang w:val="en-GB"/>
        </w:rPr>
      </w:pPr>
    </w:p>
    <w:p w14:paraId="75D16F16" w14:textId="77777777" w:rsidR="002E3647" w:rsidRPr="00E242D2" w:rsidRDefault="002E3647" w:rsidP="002E3647">
      <w:pPr>
        <w:pStyle w:val="Secondtitle"/>
        <w:rPr>
          <w:lang w:val="en-GB"/>
        </w:rPr>
      </w:pPr>
    </w:p>
    <w:p w14:paraId="7E9F8E2F" w14:textId="77777777" w:rsidR="002E3647" w:rsidRPr="00E242D2" w:rsidRDefault="002E3647" w:rsidP="002E3647">
      <w:pPr>
        <w:pStyle w:val="Secondtitle"/>
        <w:rPr>
          <w:lang w:val="en-GB"/>
        </w:rPr>
      </w:pPr>
    </w:p>
    <w:p w14:paraId="4A1E9031" w14:textId="77777777" w:rsidR="002E3647" w:rsidRPr="00E242D2" w:rsidRDefault="002E3647" w:rsidP="002E3647">
      <w:pPr>
        <w:pStyle w:val="Secondtitle"/>
        <w:rPr>
          <w:lang w:val="en-GB"/>
        </w:rPr>
      </w:pPr>
    </w:p>
    <w:p w14:paraId="118E9007" w14:textId="77777777" w:rsidR="002E3647" w:rsidRPr="00E242D2" w:rsidRDefault="002E3647" w:rsidP="002E3647">
      <w:pPr>
        <w:pStyle w:val="Secondtitle"/>
        <w:rPr>
          <w:lang w:val="en-GB"/>
        </w:rPr>
      </w:pPr>
    </w:p>
    <w:p w14:paraId="2538296C" w14:textId="77777777" w:rsidR="002E3647" w:rsidRPr="00E242D2" w:rsidRDefault="002E3647" w:rsidP="002E3647">
      <w:pPr>
        <w:pStyle w:val="Secondtitle"/>
        <w:rPr>
          <w:lang w:val="en-GB"/>
        </w:rPr>
      </w:pPr>
    </w:p>
    <w:p w14:paraId="7699D5A5" w14:textId="77777777" w:rsidR="002E3647" w:rsidRPr="00E242D2" w:rsidRDefault="002E3647" w:rsidP="002E3647">
      <w:pPr>
        <w:pStyle w:val="Secondtitle"/>
        <w:rPr>
          <w:lang w:val="en-GB"/>
        </w:rPr>
      </w:pPr>
    </w:p>
    <w:p w14:paraId="06A60ABD" w14:textId="77777777" w:rsidR="002E3647" w:rsidRPr="00E242D2" w:rsidRDefault="002E3647" w:rsidP="002E3647">
      <w:pPr>
        <w:pStyle w:val="Secondtitle"/>
        <w:rPr>
          <w:lang w:val="en-GB"/>
        </w:rPr>
      </w:pPr>
    </w:p>
    <w:p w14:paraId="2AF6A870" w14:textId="77777777" w:rsidR="002E3647" w:rsidRPr="00E242D2" w:rsidRDefault="002E3647" w:rsidP="002E3647">
      <w:pPr>
        <w:pStyle w:val="Secondtitle"/>
        <w:rPr>
          <w:lang w:val="en-GB"/>
        </w:rPr>
      </w:pPr>
    </w:p>
    <w:p w14:paraId="53A897DE" w14:textId="77777777" w:rsidR="002E3647" w:rsidRPr="00E242D2" w:rsidRDefault="002E3647" w:rsidP="002E3647">
      <w:pPr>
        <w:pStyle w:val="Secondtitle"/>
        <w:rPr>
          <w:lang w:val="en-GB"/>
        </w:rPr>
      </w:pPr>
    </w:p>
    <w:p w14:paraId="05D70EEC" w14:textId="77777777" w:rsidR="002E3647" w:rsidRPr="00E242D2" w:rsidRDefault="002E3647" w:rsidP="00850518">
      <w:pPr>
        <w:pStyle w:val="Secondtitle"/>
        <w:ind w:right="-710"/>
        <w:jc w:val="right"/>
        <w:rPr>
          <w:lang w:val="en-GB"/>
        </w:rPr>
      </w:pPr>
    </w:p>
    <w:p w14:paraId="26641D19" w14:textId="77777777" w:rsidR="00850518" w:rsidRPr="00E242D2" w:rsidRDefault="00850518" w:rsidP="00BB5D6B">
      <w:pPr>
        <w:pStyle w:val="Secondtitle"/>
        <w:ind w:right="-710"/>
        <w:rPr>
          <w:lang w:val="en-GB"/>
        </w:rPr>
      </w:pPr>
    </w:p>
    <w:p w14:paraId="13925D09" w14:textId="3DC70C66" w:rsidR="002E3647" w:rsidRPr="00E242D2" w:rsidRDefault="002E3647" w:rsidP="00BB5D6B">
      <w:pPr>
        <w:pStyle w:val="Secondtitle"/>
        <w:ind w:left="0" w:right="-710"/>
        <w:rPr>
          <w:rFonts w:ascii="Open Sans" w:hAnsi="Open Sans" w:cs="Open Sans"/>
          <w:color w:val="575756" w:themeColor="background2"/>
          <w:lang w:val="en-GB"/>
        </w:rPr>
      </w:pPr>
      <w:r w:rsidRPr="00E242D2">
        <w:rPr>
          <w:color w:val="575756" w:themeColor="background2"/>
          <w:lang w:val="en-GB"/>
        </w:rPr>
        <w:t xml:space="preserve">Version: </w:t>
      </w:r>
      <w:r w:rsidR="00AA4CAF" w:rsidRPr="00E242D2">
        <w:rPr>
          <w:rFonts w:ascii="Open Sans" w:hAnsi="Open Sans" w:cs="Open Sans"/>
          <w:color w:val="575756" w:themeColor="background2"/>
          <w:sz w:val="22"/>
          <w:lang w:val="en-GB"/>
        </w:rPr>
        <w:t>0</w:t>
      </w:r>
      <w:r w:rsidR="00232F92" w:rsidRPr="00E242D2">
        <w:rPr>
          <w:rFonts w:ascii="Open Sans" w:hAnsi="Open Sans" w:cs="Open Sans"/>
          <w:color w:val="575756" w:themeColor="background2"/>
          <w:sz w:val="22"/>
          <w:lang w:val="en-GB"/>
        </w:rPr>
        <w:t>.</w:t>
      </w:r>
      <w:r w:rsidR="00C15910" w:rsidRPr="00E242D2">
        <w:rPr>
          <w:rFonts w:ascii="Open Sans" w:hAnsi="Open Sans" w:cs="Open Sans"/>
          <w:color w:val="575756" w:themeColor="background2"/>
          <w:sz w:val="22"/>
          <w:lang w:val="en-GB"/>
        </w:rPr>
        <w:t>1</w:t>
      </w:r>
      <w:r w:rsidR="00232F92" w:rsidRPr="00E242D2">
        <w:rPr>
          <w:rFonts w:ascii="Open Sans" w:hAnsi="Open Sans" w:cs="Open Sans"/>
          <w:color w:val="575756" w:themeColor="background2"/>
          <w:sz w:val="22"/>
          <w:lang w:val="en-GB"/>
        </w:rPr>
        <w:t xml:space="preserve"> DRAFT</w:t>
      </w:r>
    </w:p>
    <w:p w14:paraId="7107E447" w14:textId="16D214C7" w:rsidR="002E3647" w:rsidRPr="00E242D2" w:rsidRDefault="002E3647" w:rsidP="00BB5D6B">
      <w:pPr>
        <w:pStyle w:val="Secondtitle"/>
        <w:ind w:left="0" w:right="-710"/>
        <w:rPr>
          <w:color w:val="575756" w:themeColor="background2"/>
          <w:lang w:val="en-GB"/>
        </w:rPr>
      </w:pPr>
      <w:r w:rsidRPr="00E242D2">
        <w:rPr>
          <w:color w:val="575756" w:themeColor="background2"/>
          <w:lang w:val="en-GB"/>
        </w:rPr>
        <w:t xml:space="preserve">Authors: </w:t>
      </w:r>
      <w:r w:rsidRPr="00E242D2">
        <w:rPr>
          <w:rFonts w:ascii="Open Sans" w:hAnsi="Open Sans" w:cs="Open Sans"/>
          <w:color w:val="575756" w:themeColor="background2"/>
          <w:sz w:val="22"/>
          <w:lang w:val="en-GB"/>
        </w:rPr>
        <w:t>Business Reporting – Advisory Group</w:t>
      </w:r>
    </w:p>
    <w:p w14:paraId="56CD78F8" w14:textId="246203F5" w:rsidR="002E3647" w:rsidRPr="00E242D2" w:rsidRDefault="002E3647" w:rsidP="00BB5D6B">
      <w:pPr>
        <w:pStyle w:val="Secondtitle"/>
        <w:ind w:left="0" w:right="-710"/>
        <w:rPr>
          <w:color w:val="575756" w:themeColor="background2"/>
          <w:lang w:val="en-GB"/>
        </w:rPr>
      </w:pPr>
      <w:r w:rsidRPr="00E242D2">
        <w:rPr>
          <w:color w:val="575756" w:themeColor="background2"/>
          <w:lang w:val="en-GB"/>
        </w:rPr>
        <w:t xml:space="preserve">Date: </w:t>
      </w:r>
      <w:r w:rsidR="0033474D" w:rsidRPr="00E242D2">
        <w:rPr>
          <w:rFonts w:asciiTheme="minorHAnsi" w:hAnsiTheme="minorHAnsi" w:cstheme="minorHAnsi"/>
          <w:color w:val="575756" w:themeColor="background2"/>
          <w:sz w:val="22"/>
          <w:szCs w:val="22"/>
          <w:lang w:val="en-GB"/>
        </w:rPr>
        <w:t>202</w:t>
      </w:r>
      <w:r w:rsidR="002447D3" w:rsidRPr="00E242D2">
        <w:rPr>
          <w:rFonts w:asciiTheme="minorHAnsi" w:hAnsiTheme="minorHAnsi" w:cstheme="minorHAnsi"/>
          <w:color w:val="575756" w:themeColor="background2"/>
          <w:sz w:val="22"/>
          <w:szCs w:val="22"/>
          <w:lang w:val="en-GB"/>
        </w:rPr>
        <w:t>5</w:t>
      </w:r>
      <w:r w:rsidRPr="00E242D2">
        <w:rPr>
          <w:rFonts w:asciiTheme="minorHAnsi" w:hAnsiTheme="minorHAnsi" w:cstheme="minorHAnsi"/>
          <w:color w:val="575756" w:themeColor="background2"/>
          <w:sz w:val="22"/>
          <w:szCs w:val="22"/>
          <w:lang w:val="en-GB"/>
        </w:rPr>
        <w:t>-</w:t>
      </w:r>
      <w:r w:rsidR="0090540D" w:rsidRPr="00E242D2">
        <w:rPr>
          <w:rFonts w:asciiTheme="minorHAnsi" w:hAnsiTheme="minorHAnsi" w:cstheme="minorHAnsi"/>
          <w:color w:val="575756" w:themeColor="background2"/>
          <w:sz w:val="22"/>
          <w:szCs w:val="22"/>
          <w:lang w:val="en-GB"/>
        </w:rPr>
        <w:t>0</w:t>
      </w:r>
      <w:r w:rsidR="002447D3" w:rsidRPr="00E242D2">
        <w:rPr>
          <w:rFonts w:asciiTheme="minorHAnsi" w:hAnsiTheme="minorHAnsi" w:cstheme="minorHAnsi"/>
          <w:color w:val="575756" w:themeColor="background2"/>
          <w:sz w:val="22"/>
          <w:szCs w:val="22"/>
          <w:lang w:val="en-GB"/>
        </w:rPr>
        <w:t>4</w:t>
      </w:r>
      <w:r w:rsidR="0090540D" w:rsidRPr="00E242D2">
        <w:rPr>
          <w:rFonts w:asciiTheme="minorHAnsi" w:hAnsiTheme="minorHAnsi" w:cstheme="minorHAnsi"/>
          <w:color w:val="575756" w:themeColor="background2"/>
          <w:sz w:val="22"/>
          <w:szCs w:val="22"/>
          <w:lang w:val="en-GB"/>
        </w:rPr>
        <w:t>-</w:t>
      </w:r>
      <w:r w:rsidR="001868E1" w:rsidRPr="00E242D2">
        <w:rPr>
          <w:rFonts w:asciiTheme="minorHAnsi" w:hAnsiTheme="minorHAnsi" w:cstheme="minorHAnsi"/>
          <w:color w:val="575756" w:themeColor="background2"/>
          <w:sz w:val="22"/>
          <w:szCs w:val="22"/>
          <w:lang w:val="en-GB"/>
        </w:rPr>
        <w:t>1</w:t>
      </w:r>
      <w:r w:rsidR="00C87D7B">
        <w:rPr>
          <w:rFonts w:asciiTheme="minorHAnsi" w:hAnsiTheme="minorHAnsi" w:cstheme="minorHAnsi"/>
          <w:color w:val="575756" w:themeColor="background2"/>
          <w:sz w:val="22"/>
          <w:szCs w:val="22"/>
          <w:lang w:val="en-GB"/>
        </w:rPr>
        <w:t>7</w:t>
      </w:r>
    </w:p>
    <w:p w14:paraId="23A6A1A1" w14:textId="4099B109" w:rsidR="002E3647" w:rsidRPr="00E242D2" w:rsidRDefault="002E3647" w:rsidP="002E3647">
      <w:pPr>
        <w:pStyle w:val="Secondtitle"/>
        <w:rPr>
          <w:lang w:val="en-GB"/>
        </w:rPr>
      </w:pPr>
      <w:r w:rsidRPr="00E242D2">
        <w:rPr>
          <w:lang w:val="en-GB"/>
        </w:rPr>
        <w:lastRenderedPageBreak/>
        <w:br w:type="page"/>
      </w:r>
    </w:p>
    <w:p w14:paraId="63297937" w14:textId="1A11CF86" w:rsidR="00666DF6" w:rsidRPr="00E242D2" w:rsidRDefault="00666DF6" w:rsidP="00666DF6">
      <w:pPr>
        <w:pStyle w:val="Secondtitle"/>
        <w:ind w:left="0"/>
        <w:rPr>
          <w:rFonts w:asciiTheme="minorHAnsi" w:eastAsia="Open Sans" w:hAnsiTheme="minorHAnsi" w:cs="Open Sans"/>
          <w:b/>
          <w:bCs/>
          <w:color w:val="0070C0"/>
          <w:szCs w:val="26"/>
          <w:lang w:val="en-GB"/>
        </w:rPr>
      </w:pPr>
      <w:r w:rsidRPr="00E242D2">
        <w:rPr>
          <w:rFonts w:asciiTheme="minorHAnsi" w:eastAsia="Open Sans" w:hAnsiTheme="minorHAnsi" w:cs="Open Sans"/>
          <w:b/>
          <w:bCs/>
          <w:color w:val="0070C0"/>
          <w:szCs w:val="26"/>
          <w:lang w:val="en-GB"/>
        </w:rPr>
        <w:lastRenderedPageBreak/>
        <w:t>Contents</w:t>
      </w:r>
    </w:p>
    <w:p w14:paraId="38530738" w14:textId="77777777" w:rsidR="000845FF" w:rsidRPr="00E242D2" w:rsidRDefault="000845FF" w:rsidP="00666DF6">
      <w:pPr>
        <w:pStyle w:val="Secondtitle"/>
        <w:ind w:left="0"/>
        <w:rPr>
          <w:rFonts w:asciiTheme="minorHAnsi" w:eastAsia="Open Sans" w:hAnsiTheme="minorHAnsi" w:cs="Open Sans"/>
          <w:b/>
          <w:bCs/>
          <w:color w:val="0070C0"/>
          <w:szCs w:val="26"/>
          <w:lang w:val="en-GB"/>
        </w:rPr>
      </w:pPr>
    </w:p>
    <w:sdt>
      <w:sdtPr>
        <w:id w:val="528468440"/>
        <w:docPartObj>
          <w:docPartGallery w:val="Table of Contents"/>
          <w:docPartUnique/>
        </w:docPartObj>
      </w:sdtPr>
      <w:sdtContent>
        <w:p w14:paraId="012D561B" w14:textId="1EF972D2" w:rsidR="007F780A" w:rsidRDefault="009A1C7D">
          <w:pPr>
            <w:pStyle w:val="TOC1"/>
            <w:rPr>
              <w:rFonts w:asciiTheme="minorHAnsi" w:eastAsiaTheme="minorEastAsia" w:hAnsiTheme="minorHAnsi" w:cstheme="minorBidi"/>
              <w:noProof/>
              <w:color w:val="auto"/>
              <w:kern w:val="2"/>
              <w:sz w:val="24"/>
              <w:szCs w:val="24"/>
              <w:lang w:val="pl-PL" w:eastAsia="pl-PL" w:bidi="ar-SA"/>
              <w14:ligatures w14:val="standardContextual"/>
            </w:rPr>
          </w:pPr>
          <w:r w:rsidRPr="00E242D2">
            <w:fldChar w:fldCharType="begin"/>
          </w:r>
          <w:r w:rsidR="00AD1C88" w:rsidRPr="00E242D2">
            <w:instrText>TOC \o "1-3" \h \z \u</w:instrText>
          </w:r>
          <w:r w:rsidRPr="00E242D2">
            <w:fldChar w:fldCharType="separate"/>
          </w:r>
          <w:hyperlink w:anchor="_Toc195789341" w:history="1">
            <w:r w:rsidR="007F780A" w:rsidRPr="000B4D1F">
              <w:rPr>
                <w:rStyle w:val="Hyperlink"/>
                <w:noProof/>
              </w:rPr>
              <w:t>List of appendices</w:t>
            </w:r>
            <w:r w:rsidR="007F780A">
              <w:rPr>
                <w:noProof/>
                <w:webHidden/>
              </w:rPr>
              <w:tab/>
            </w:r>
            <w:r w:rsidR="007F780A">
              <w:rPr>
                <w:noProof/>
                <w:webHidden/>
              </w:rPr>
              <w:fldChar w:fldCharType="begin"/>
            </w:r>
            <w:r w:rsidR="007F780A">
              <w:rPr>
                <w:noProof/>
                <w:webHidden/>
              </w:rPr>
              <w:instrText xml:space="preserve"> PAGEREF _Toc195789341 \h </w:instrText>
            </w:r>
            <w:r w:rsidR="007F780A">
              <w:rPr>
                <w:noProof/>
                <w:webHidden/>
              </w:rPr>
            </w:r>
            <w:r w:rsidR="007F780A">
              <w:rPr>
                <w:noProof/>
                <w:webHidden/>
              </w:rPr>
              <w:fldChar w:fldCharType="separate"/>
            </w:r>
            <w:r w:rsidR="007F780A">
              <w:rPr>
                <w:noProof/>
                <w:webHidden/>
              </w:rPr>
              <w:t>4</w:t>
            </w:r>
            <w:r w:rsidR="007F780A">
              <w:rPr>
                <w:noProof/>
                <w:webHidden/>
              </w:rPr>
              <w:fldChar w:fldCharType="end"/>
            </w:r>
          </w:hyperlink>
        </w:p>
        <w:p w14:paraId="434CF438" w14:textId="2E8E7CEF"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42" w:history="1">
            <w:r w:rsidRPr="000B4D1F">
              <w:rPr>
                <w:rStyle w:val="Hyperlink"/>
                <w:noProof/>
              </w:rPr>
              <w:t>About this document</w:t>
            </w:r>
            <w:r>
              <w:rPr>
                <w:noProof/>
                <w:webHidden/>
              </w:rPr>
              <w:tab/>
            </w:r>
            <w:r>
              <w:rPr>
                <w:noProof/>
                <w:webHidden/>
              </w:rPr>
              <w:fldChar w:fldCharType="begin"/>
            </w:r>
            <w:r>
              <w:rPr>
                <w:noProof/>
                <w:webHidden/>
              </w:rPr>
              <w:instrText xml:space="preserve"> PAGEREF _Toc195789342 \h </w:instrText>
            </w:r>
            <w:r>
              <w:rPr>
                <w:noProof/>
                <w:webHidden/>
              </w:rPr>
            </w:r>
            <w:r>
              <w:rPr>
                <w:noProof/>
                <w:webHidden/>
              </w:rPr>
              <w:fldChar w:fldCharType="separate"/>
            </w:r>
            <w:r>
              <w:rPr>
                <w:noProof/>
                <w:webHidden/>
              </w:rPr>
              <w:t>4</w:t>
            </w:r>
            <w:r>
              <w:rPr>
                <w:noProof/>
                <w:webHidden/>
              </w:rPr>
              <w:fldChar w:fldCharType="end"/>
            </w:r>
          </w:hyperlink>
        </w:p>
        <w:p w14:paraId="7A41DAD6" w14:textId="263E3F13"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43" w:history="1">
            <w:r w:rsidRPr="000B4D1F">
              <w:rPr>
                <w:rStyle w:val="Hyperlink"/>
                <w:noProof/>
              </w:rPr>
              <w:t>Executive summary</w:t>
            </w:r>
            <w:r>
              <w:rPr>
                <w:noProof/>
                <w:webHidden/>
              </w:rPr>
              <w:tab/>
            </w:r>
            <w:r>
              <w:rPr>
                <w:noProof/>
                <w:webHidden/>
              </w:rPr>
              <w:fldChar w:fldCharType="begin"/>
            </w:r>
            <w:r>
              <w:rPr>
                <w:noProof/>
                <w:webHidden/>
              </w:rPr>
              <w:instrText xml:space="preserve"> PAGEREF _Toc195789343 \h </w:instrText>
            </w:r>
            <w:r>
              <w:rPr>
                <w:noProof/>
                <w:webHidden/>
              </w:rPr>
            </w:r>
            <w:r>
              <w:rPr>
                <w:noProof/>
                <w:webHidden/>
              </w:rPr>
              <w:fldChar w:fldCharType="separate"/>
            </w:r>
            <w:r>
              <w:rPr>
                <w:noProof/>
                <w:webHidden/>
              </w:rPr>
              <w:t>5</w:t>
            </w:r>
            <w:r>
              <w:rPr>
                <w:noProof/>
                <w:webHidden/>
              </w:rPr>
              <w:fldChar w:fldCharType="end"/>
            </w:r>
          </w:hyperlink>
        </w:p>
        <w:p w14:paraId="4B754EE2" w14:textId="34B577AE"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44" w:history="1">
            <w:r w:rsidRPr="000B4D1F">
              <w:rPr>
                <w:rStyle w:val="Hyperlink"/>
                <w:noProof/>
              </w:rPr>
              <w:t>Context of the project</w:t>
            </w:r>
            <w:r>
              <w:rPr>
                <w:noProof/>
                <w:webHidden/>
              </w:rPr>
              <w:tab/>
            </w:r>
            <w:r>
              <w:rPr>
                <w:noProof/>
                <w:webHidden/>
              </w:rPr>
              <w:fldChar w:fldCharType="begin"/>
            </w:r>
            <w:r>
              <w:rPr>
                <w:noProof/>
                <w:webHidden/>
              </w:rPr>
              <w:instrText xml:space="preserve"> PAGEREF _Toc195789344 \h </w:instrText>
            </w:r>
            <w:r>
              <w:rPr>
                <w:noProof/>
                <w:webHidden/>
              </w:rPr>
            </w:r>
            <w:r>
              <w:rPr>
                <w:noProof/>
                <w:webHidden/>
              </w:rPr>
              <w:fldChar w:fldCharType="separate"/>
            </w:r>
            <w:r>
              <w:rPr>
                <w:noProof/>
                <w:webHidden/>
              </w:rPr>
              <w:t>6</w:t>
            </w:r>
            <w:r>
              <w:rPr>
                <w:noProof/>
                <w:webHidden/>
              </w:rPr>
              <w:fldChar w:fldCharType="end"/>
            </w:r>
          </w:hyperlink>
        </w:p>
        <w:p w14:paraId="6E6019C7" w14:textId="6DF9D825"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45" w:history="1">
            <w:r w:rsidRPr="000B4D1F">
              <w:rPr>
                <w:rStyle w:val="Hyperlink"/>
                <w:noProof/>
              </w:rPr>
              <w:t>Gap analysis: IFRS Accounting Taxonomy 2025</w:t>
            </w:r>
            <w:r>
              <w:rPr>
                <w:noProof/>
                <w:webHidden/>
              </w:rPr>
              <w:tab/>
            </w:r>
            <w:r>
              <w:rPr>
                <w:noProof/>
                <w:webHidden/>
              </w:rPr>
              <w:fldChar w:fldCharType="begin"/>
            </w:r>
            <w:r>
              <w:rPr>
                <w:noProof/>
                <w:webHidden/>
              </w:rPr>
              <w:instrText xml:space="preserve"> PAGEREF _Toc195789345 \h </w:instrText>
            </w:r>
            <w:r>
              <w:rPr>
                <w:noProof/>
                <w:webHidden/>
              </w:rPr>
            </w:r>
            <w:r>
              <w:rPr>
                <w:noProof/>
                <w:webHidden/>
              </w:rPr>
              <w:fldChar w:fldCharType="separate"/>
            </w:r>
            <w:r>
              <w:rPr>
                <w:noProof/>
                <w:webHidden/>
              </w:rPr>
              <w:t>7</w:t>
            </w:r>
            <w:r>
              <w:rPr>
                <w:noProof/>
                <w:webHidden/>
              </w:rPr>
              <w:fldChar w:fldCharType="end"/>
            </w:r>
          </w:hyperlink>
        </w:p>
        <w:p w14:paraId="77C9D3C9" w14:textId="25E295A4" w:rsidR="007F780A" w:rsidRDefault="007F780A">
          <w:pPr>
            <w:pStyle w:val="TOC2"/>
            <w:rPr>
              <w:rFonts w:cstheme="minorBidi"/>
              <w:color w:val="auto"/>
              <w:kern w:val="2"/>
              <w:sz w:val="24"/>
              <w:szCs w:val="24"/>
              <w:lang w:val="pl-PL" w:eastAsia="pl-PL"/>
              <w14:ligatures w14:val="standardContextual"/>
            </w:rPr>
          </w:pPr>
          <w:hyperlink w:anchor="_Toc195789346" w:history="1">
            <w:r w:rsidRPr="000B4D1F">
              <w:rPr>
                <w:rStyle w:val="Hyperlink"/>
                <w:lang w:val="en-GB" w:bidi="en-GB"/>
              </w:rPr>
              <w:t>Scope of analysis</w:t>
            </w:r>
            <w:r>
              <w:rPr>
                <w:webHidden/>
              </w:rPr>
              <w:tab/>
            </w:r>
            <w:r>
              <w:rPr>
                <w:webHidden/>
              </w:rPr>
              <w:fldChar w:fldCharType="begin"/>
            </w:r>
            <w:r>
              <w:rPr>
                <w:webHidden/>
              </w:rPr>
              <w:instrText xml:space="preserve"> PAGEREF _Toc195789346 \h </w:instrText>
            </w:r>
            <w:r>
              <w:rPr>
                <w:webHidden/>
              </w:rPr>
            </w:r>
            <w:r>
              <w:rPr>
                <w:webHidden/>
              </w:rPr>
              <w:fldChar w:fldCharType="separate"/>
            </w:r>
            <w:r>
              <w:rPr>
                <w:webHidden/>
              </w:rPr>
              <w:t>7</w:t>
            </w:r>
            <w:r>
              <w:rPr>
                <w:webHidden/>
              </w:rPr>
              <w:fldChar w:fldCharType="end"/>
            </w:r>
          </w:hyperlink>
        </w:p>
        <w:p w14:paraId="14CEC6D3" w14:textId="0926E992" w:rsidR="007F780A" w:rsidRDefault="007F780A">
          <w:pPr>
            <w:pStyle w:val="TOC2"/>
            <w:rPr>
              <w:rFonts w:cstheme="minorBidi"/>
              <w:color w:val="auto"/>
              <w:kern w:val="2"/>
              <w:sz w:val="24"/>
              <w:szCs w:val="24"/>
              <w:lang w:val="pl-PL" w:eastAsia="pl-PL"/>
              <w14:ligatures w14:val="standardContextual"/>
            </w:rPr>
          </w:pPr>
          <w:hyperlink w:anchor="_Toc195789347" w:history="1">
            <w:r w:rsidRPr="000B4D1F">
              <w:rPr>
                <w:rStyle w:val="Hyperlink"/>
                <w:lang w:val="en-GB" w:bidi="en-GB"/>
              </w:rPr>
              <w:t>Summary of observations</w:t>
            </w:r>
            <w:r>
              <w:rPr>
                <w:webHidden/>
              </w:rPr>
              <w:tab/>
            </w:r>
            <w:r>
              <w:rPr>
                <w:webHidden/>
              </w:rPr>
              <w:fldChar w:fldCharType="begin"/>
            </w:r>
            <w:r>
              <w:rPr>
                <w:webHidden/>
              </w:rPr>
              <w:instrText xml:space="preserve"> PAGEREF _Toc195789347 \h </w:instrText>
            </w:r>
            <w:r>
              <w:rPr>
                <w:webHidden/>
              </w:rPr>
            </w:r>
            <w:r>
              <w:rPr>
                <w:webHidden/>
              </w:rPr>
              <w:fldChar w:fldCharType="separate"/>
            </w:r>
            <w:r>
              <w:rPr>
                <w:webHidden/>
              </w:rPr>
              <w:t>7</w:t>
            </w:r>
            <w:r>
              <w:rPr>
                <w:webHidden/>
              </w:rPr>
              <w:fldChar w:fldCharType="end"/>
            </w:r>
          </w:hyperlink>
        </w:p>
        <w:p w14:paraId="5BAE496B" w14:textId="3A75A02D" w:rsidR="007F780A" w:rsidRDefault="007F780A">
          <w:pPr>
            <w:pStyle w:val="TOC2"/>
            <w:rPr>
              <w:rFonts w:cstheme="minorBidi"/>
              <w:color w:val="auto"/>
              <w:kern w:val="2"/>
              <w:sz w:val="24"/>
              <w:szCs w:val="24"/>
              <w:lang w:val="pl-PL" w:eastAsia="pl-PL"/>
              <w14:ligatures w14:val="standardContextual"/>
            </w:rPr>
          </w:pPr>
          <w:hyperlink w:anchor="_Toc195789348" w:history="1">
            <w:r w:rsidRPr="000B4D1F">
              <w:rPr>
                <w:rStyle w:val="Hyperlink"/>
                <w:lang w:val="en-GB" w:bidi="en-GB"/>
              </w:rPr>
              <w:t>Impact on the CIPC taxonomy</w:t>
            </w:r>
            <w:r>
              <w:rPr>
                <w:webHidden/>
              </w:rPr>
              <w:tab/>
            </w:r>
            <w:r>
              <w:rPr>
                <w:webHidden/>
              </w:rPr>
              <w:fldChar w:fldCharType="begin"/>
            </w:r>
            <w:r>
              <w:rPr>
                <w:webHidden/>
              </w:rPr>
              <w:instrText xml:space="preserve"> PAGEREF _Toc195789348 \h </w:instrText>
            </w:r>
            <w:r>
              <w:rPr>
                <w:webHidden/>
              </w:rPr>
            </w:r>
            <w:r>
              <w:rPr>
                <w:webHidden/>
              </w:rPr>
              <w:fldChar w:fldCharType="separate"/>
            </w:r>
            <w:r>
              <w:rPr>
                <w:webHidden/>
              </w:rPr>
              <w:t>8</w:t>
            </w:r>
            <w:r>
              <w:rPr>
                <w:webHidden/>
              </w:rPr>
              <w:fldChar w:fldCharType="end"/>
            </w:r>
          </w:hyperlink>
        </w:p>
        <w:p w14:paraId="484373A0" w14:textId="670106CB" w:rsidR="007F780A" w:rsidRDefault="007F780A">
          <w:pPr>
            <w:pStyle w:val="TOC3"/>
            <w:rPr>
              <w:rFonts w:cstheme="minorBidi"/>
              <w:color w:val="auto"/>
              <w:kern w:val="2"/>
              <w:sz w:val="24"/>
              <w:szCs w:val="24"/>
              <w:lang w:val="pl-PL" w:eastAsia="pl-PL" w:bidi="ar-SA"/>
              <w14:ligatures w14:val="standardContextual"/>
            </w:rPr>
          </w:pPr>
          <w:hyperlink w:anchor="_Toc195789349" w:history="1">
            <w:r w:rsidRPr="000B4D1F">
              <w:rPr>
                <w:rStyle w:val="Hyperlink"/>
              </w:rPr>
              <w:t>IFRS-FULL structures affected by IFRS 2025 updates</w:t>
            </w:r>
            <w:r>
              <w:rPr>
                <w:webHidden/>
              </w:rPr>
              <w:tab/>
            </w:r>
            <w:r>
              <w:rPr>
                <w:webHidden/>
              </w:rPr>
              <w:fldChar w:fldCharType="begin"/>
            </w:r>
            <w:r>
              <w:rPr>
                <w:webHidden/>
              </w:rPr>
              <w:instrText xml:space="preserve"> PAGEREF _Toc195789349 \h </w:instrText>
            </w:r>
            <w:r>
              <w:rPr>
                <w:webHidden/>
              </w:rPr>
            </w:r>
            <w:r>
              <w:rPr>
                <w:webHidden/>
              </w:rPr>
              <w:fldChar w:fldCharType="separate"/>
            </w:r>
            <w:r>
              <w:rPr>
                <w:webHidden/>
              </w:rPr>
              <w:t>8</w:t>
            </w:r>
            <w:r>
              <w:rPr>
                <w:webHidden/>
              </w:rPr>
              <w:fldChar w:fldCharType="end"/>
            </w:r>
          </w:hyperlink>
        </w:p>
        <w:p w14:paraId="5EB78E3A" w14:textId="3B9AD3C7" w:rsidR="007F780A" w:rsidRDefault="007F780A">
          <w:pPr>
            <w:pStyle w:val="TOC3"/>
            <w:rPr>
              <w:rFonts w:cstheme="minorBidi"/>
              <w:color w:val="auto"/>
              <w:kern w:val="2"/>
              <w:sz w:val="24"/>
              <w:szCs w:val="24"/>
              <w:lang w:val="pl-PL" w:eastAsia="pl-PL" w:bidi="ar-SA"/>
              <w14:ligatures w14:val="standardContextual"/>
            </w:rPr>
          </w:pPr>
          <w:hyperlink w:anchor="_Toc195789350" w:history="1">
            <w:r w:rsidRPr="000B4D1F">
              <w:rPr>
                <w:rStyle w:val="Hyperlink"/>
              </w:rPr>
              <w:t>IFRS-SMEs structures affected by IFRS 2025 updates</w:t>
            </w:r>
            <w:r>
              <w:rPr>
                <w:webHidden/>
              </w:rPr>
              <w:tab/>
            </w:r>
            <w:r>
              <w:rPr>
                <w:webHidden/>
              </w:rPr>
              <w:fldChar w:fldCharType="begin"/>
            </w:r>
            <w:r>
              <w:rPr>
                <w:webHidden/>
              </w:rPr>
              <w:instrText xml:space="preserve"> PAGEREF _Toc195789350 \h </w:instrText>
            </w:r>
            <w:r>
              <w:rPr>
                <w:webHidden/>
              </w:rPr>
            </w:r>
            <w:r>
              <w:rPr>
                <w:webHidden/>
              </w:rPr>
              <w:fldChar w:fldCharType="separate"/>
            </w:r>
            <w:r>
              <w:rPr>
                <w:webHidden/>
              </w:rPr>
              <w:t>10</w:t>
            </w:r>
            <w:r>
              <w:rPr>
                <w:webHidden/>
              </w:rPr>
              <w:fldChar w:fldCharType="end"/>
            </w:r>
          </w:hyperlink>
        </w:p>
        <w:p w14:paraId="42D81D63" w14:textId="0FA86870" w:rsidR="007F780A" w:rsidRDefault="007F780A">
          <w:pPr>
            <w:pStyle w:val="TOC3"/>
            <w:rPr>
              <w:rFonts w:cstheme="minorBidi"/>
              <w:color w:val="auto"/>
              <w:kern w:val="2"/>
              <w:sz w:val="24"/>
              <w:szCs w:val="24"/>
              <w:lang w:val="pl-PL" w:eastAsia="pl-PL" w:bidi="ar-SA"/>
              <w14:ligatures w14:val="standardContextual"/>
            </w:rPr>
          </w:pPr>
          <w:hyperlink w:anchor="_Toc195789351" w:history="1">
            <w:r w:rsidRPr="000B4D1F">
              <w:rPr>
                <w:rStyle w:val="Hyperlink"/>
              </w:rPr>
              <w:t>IFRS elements modified in IFRS 2025 updates</w:t>
            </w:r>
            <w:r>
              <w:rPr>
                <w:webHidden/>
              </w:rPr>
              <w:tab/>
            </w:r>
            <w:r>
              <w:rPr>
                <w:webHidden/>
              </w:rPr>
              <w:fldChar w:fldCharType="begin"/>
            </w:r>
            <w:r>
              <w:rPr>
                <w:webHidden/>
              </w:rPr>
              <w:instrText xml:space="preserve"> PAGEREF _Toc195789351 \h </w:instrText>
            </w:r>
            <w:r>
              <w:rPr>
                <w:webHidden/>
              </w:rPr>
            </w:r>
            <w:r>
              <w:rPr>
                <w:webHidden/>
              </w:rPr>
              <w:fldChar w:fldCharType="separate"/>
            </w:r>
            <w:r>
              <w:rPr>
                <w:webHidden/>
              </w:rPr>
              <w:t>10</w:t>
            </w:r>
            <w:r>
              <w:rPr>
                <w:webHidden/>
              </w:rPr>
              <w:fldChar w:fldCharType="end"/>
            </w:r>
          </w:hyperlink>
        </w:p>
        <w:p w14:paraId="77EC4264" w14:textId="5830ED7C" w:rsidR="007F780A" w:rsidRDefault="007F780A">
          <w:pPr>
            <w:pStyle w:val="TOC2"/>
            <w:rPr>
              <w:rFonts w:cstheme="minorBidi"/>
              <w:color w:val="auto"/>
              <w:kern w:val="2"/>
              <w:sz w:val="24"/>
              <w:szCs w:val="24"/>
              <w:lang w:val="pl-PL" w:eastAsia="pl-PL"/>
              <w14:ligatures w14:val="standardContextual"/>
            </w:rPr>
          </w:pPr>
          <w:hyperlink w:anchor="_Toc195789352" w:history="1">
            <w:r w:rsidRPr="000B4D1F">
              <w:rPr>
                <w:rStyle w:val="Hyperlink"/>
                <w:lang w:val="en-GB" w:bidi="en-GB"/>
              </w:rPr>
              <w:t>Recommendation</w:t>
            </w:r>
            <w:r>
              <w:rPr>
                <w:webHidden/>
              </w:rPr>
              <w:tab/>
            </w:r>
            <w:r>
              <w:rPr>
                <w:webHidden/>
              </w:rPr>
              <w:fldChar w:fldCharType="begin"/>
            </w:r>
            <w:r>
              <w:rPr>
                <w:webHidden/>
              </w:rPr>
              <w:instrText xml:space="preserve"> PAGEREF _Toc195789352 \h </w:instrText>
            </w:r>
            <w:r>
              <w:rPr>
                <w:webHidden/>
              </w:rPr>
            </w:r>
            <w:r>
              <w:rPr>
                <w:webHidden/>
              </w:rPr>
              <w:fldChar w:fldCharType="separate"/>
            </w:r>
            <w:r>
              <w:rPr>
                <w:webHidden/>
              </w:rPr>
              <w:t>10</w:t>
            </w:r>
            <w:r>
              <w:rPr>
                <w:webHidden/>
              </w:rPr>
              <w:fldChar w:fldCharType="end"/>
            </w:r>
          </w:hyperlink>
        </w:p>
        <w:p w14:paraId="3DBBF7F4" w14:textId="20358845"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53" w:history="1">
            <w:r w:rsidRPr="000B4D1F">
              <w:rPr>
                <w:rStyle w:val="Hyperlink"/>
                <w:noProof/>
              </w:rPr>
              <w:t>Gap analysis: IFRS Sustainability Disclosure Taxonomy 2025</w:t>
            </w:r>
            <w:r>
              <w:rPr>
                <w:noProof/>
                <w:webHidden/>
              </w:rPr>
              <w:tab/>
            </w:r>
            <w:r>
              <w:rPr>
                <w:noProof/>
                <w:webHidden/>
              </w:rPr>
              <w:fldChar w:fldCharType="begin"/>
            </w:r>
            <w:r>
              <w:rPr>
                <w:noProof/>
                <w:webHidden/>
              </w:rPr>
              <w:instrText xml:space="preserve"> PAGEREF _Toc195789353 \h </w:instrText>
            </w:r>
            <w:r>
              <w:rPr>
                <w:noProof/>
                <w:webHidden/>
              </w:rPr>
            </w:r>
            <w:r>
              <w:rPr>
                <w:noProof/>
                <w:webHidden/>
              </w:rPr>
              <w:fldChar w:fldCharType="separate"/>
            </w:r>
            <w:r>
              <w:rPr>
                <w:noProof/>
                <w:webHidden/>
              </w:rPr>
              <w:t>10</w:t>
            </w:r>
            <w:r>
              <w:rPr>
                <w:noProof/>
                <w:webHidden/>
              </w:rPr>
              <w:fldChar w:fldCharType="end"/>
            </w:r>
          </w:hyperlink>
        </w:p>
        <w:p w14:paraId="6F242EC5" w14:textId="1C09B5C0" w:rsidR="007F780A" w:rsidRDefault="007F780A">
          <w:pPr>
            <w:pStyle w:val="TOC2"/>
            <w:rPr>
              <w:rFonts w:cstheme="minorBidi"/>
              <w:color w:val="auto"/>
              <w:kern w:val="2"/>
              <w:sz w:val="24"/>
              <w:szCs w:val="24"/>
              <w:lang w:val="pl-PL" w:eastAsia="pl-PL"/>
              <w14:ligatures w14:val="standardContextual"/>
            </w:rPr>
          </w:pPr>
          <w:hyperlink w:anchor="_Toc195789354" w:history="1">
            <w:r w:rsidRPr="000B4D1F">
              <w:rPr>
                <w:rStyle w:val="Hyperlink"/>
                <w:lang w:val="en-GB" w:bidi="en-GB"/>
              </w:rPr>
              <w:t>Summary of observations</w:t>
            </w:r>
            <w:r>
              <w:rPr>
                <w:webHidden/>
              </w:rPr>
              <w:tab/>
            </w:r>
            <w:r>
              <w:rPr>
                <w:webHidden/>
              </w:rPr>
              <w:fldChar w:fldCharType="begin"/>
            </w:r>
            <w:r>
              <w:rPr>
                <w:webHidden/>
              </w:rPr>
              <w:instrText xml:space="preserve"> PAGEREF _Toc195789354 \h </w:instrText>
            </w:r>
            <w:r>
              <w:rPr>
                <w:webHidden/>
              </w:rPr>
            </w:r>
            <w:r>
              <w:rPr>
                <w:webHidden/>
              </w:rPr>
              <w:fldChar w:fldCharType="separate"/>
            </w:r>
            <w:r>
              <w:rPr>
                <w:webHidden/>
              </w:rPr>
              <w:t>10</w:t>
            </w:r>
            <w:r>
              <w:rPr>
                <w:webHidden/>
              </w:rPr>
              <w:fldChar w:fldCharType="end"/>
            </w:r>
          </w:hyperlink>
        </w:p>
        <w:p w14:paraId="5A232151" w14:textId="3FC7FF0D"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55" w:history="1">
            <w:r w:rsidRPr="000B4D1F">
              <w:rPr>
                <w:rStyle w:val="Hyperlink"/>
                <w:noProof/>
              </w:rPr>
              <w:t>Gap analysis: Co-operatives Act</w:t>
            </w:r>
            <w:r>
              <w:rPr>
                <w:noProof/>
                <w:webHidden/>
              </w:rPr>
              <w:tab/>
            </w:r>
            <w:r>
              <w:rPr>
                <w:noProof/>
                <w:webHidden/>
              </w:rPr>
              <w:fldChar w:fldCharType="begin"/>
            </w:r>
            <w:r>
              <w:rPr>
                <w:noProof/>
                <w:webHidden/>
              </w:rPr>
              <w:instrText xml:space="preserve"> PAGEREF _Toc195789355 \h </w:instrText>
            </w:r>
            <w:r>
              <w:rPr>
                <w:noProof/>
                <w:webHidden/>
              </w:rPr>
            </w:r>
            <w:r>
              <w:rPr>
                <w:noProof/>
                <w:webHidden/>
              </w:rPr>
              <w:fldChar w:fldCharType="separate"/>
            </w:r>
            <w:r>
              <w:rPr>
                <w:noProof/>
                <w:webHidden/>
              </w:rPr>
              <w:t>10</w:t>
            </w:r>
            <w:r>
              <w:rPr>
                <w:noProof/>
                <w:webHidden/>
              </w:rPr>
              <w:fldChar w:fldCharType="end"/>
            </w:r>
          </w:hyperlink>
        </w:p>
        <w:p w14:paraId="10C2140B" w14:textId="10048B19" w:rsidR="007F780A" w:rsidRDefault="007F780A">
          <w:pPr>
            <w:pStyle w:val="TOC2"/>
            <w:rPr>
              <w:rFonts w:cstheme="minorBidi"/>
              <w:color w:val="auto"/>
              <w:kern w:val="2"/>
              <w:sz w:val="24"/>
              <w:szCs w:val="24"/>
              <w:lang w:val="pl-PL" w:eastAsia="pl-PL"/>
              <w14:ligatures w14:val="standardContextual"/>
            </w:rPr>
          </w:pPr>
          <w:hyperlink w:anchor="_Toc195789356" w:history="1">
            <w:r w:rsidRPr="000B4D1F">
              <w:rPr>
                <w:rStyle w:val="Hyperlink"/>
                <w:lang w:val="en-GB" w:bidi="en-GB"/>
              </w:rPr>
              <w:t>Summary of observations</w:t>
            </w:r>
            <w:r>
              <w:rPr>
                <w:webHidden/>
              </w:rPr>
              <w:tab/>
            </w:r>
            <w:r>
              <w:rPr>
                <w:webHidden/>
              </w:rPr>
              <w:fldChar w:fldCharType="begin"/>
            </w:r>
            <w:r>
              <w:rPr>
                <w:webHidden/>
              </w:rPr>
              <w:instrText xml:space="preserve"> PAGEREF _Toc195789356 \h </w:instrText>
            </w:r>
            <w:r>
              <w:rPr>
                <w:webHidden/>
              </w:rPr>
            </w:r>
            <w:r>
              <w:rPr>
                <w:webHidden/>
              </w:rPr>
              <w:fldChar w:fldCharType="separate"/>
            </w:r>
            <w:r>
              <w:rPr>
                <w:webHidden/>
              </w:rPr>
              <w:t>10</w:t>
            </w:r>
            <w:r>
              <w:rPr>
                <w:webHidden/>
              </w:rPr>
              <w:fldChar w:fldCharType="end"/>
            </w:r>
          </w:hyperlink>
        </w:p>
        <w:p w14:paraId="0087A7E4" w14:textId="6DB7CA52"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57" w:history="1">
            <w:r w:rsidRPr="000B4D1F">
              <w:rPr>
                <w:rStyle w:val="Hyperlink"/>
                <w:noProof/>
              </w:rPr>
              <w:t>Gap analysis: GRAP</w:t>
            </w:r>
            <w:r>
              <w:rPr>
                <w:noProof/>
                <w:webHidden/>
              </w:rPr>
              <w:tab/>
            </w:r>
            <w:r>
              <w:rPr>
                <w:noProof/>
                <w:webHidden/>
              </w:rPr>
              <w:fldChar w:fldCharType="begin"/>
            </w:r>
            <w:r>
              <w:rPr>
                <w:noProof/>
                <w:webHidden/>
              </w:rPr>
              <w:instrText xml:space="preserve"> PAGEREF _Toc195789357 \h </w:instrText>
            </w:r>
            <w:r>
              <w:rPr>
                <w:noProof/>
                <w:webHidden/>
              </w:rPr>
            </w:r>
            <w:r>
              <w:rPr>
                <w:noProof/>
                <w:webHidden/>
              </w:rPr>
              <w:fldChar w:fldCharType="separate"/>
            </w:r>
            <w:r>
              <w:rPr>
                <w:noProof/>
                <w:webHidden/>
              </w:rPr>
              <w:t>10</w:t>
            </w:r>
            <w:r>
              <w:rPr>
                <w:noProof/>
                <w:webHidden/>
              </w:rPr>
              <w:fldChar w:fldCharType="end"/>
            </w:r>
          </w:hyperlink>
        </w:p>
        <w:p w14:paraId="6F408AA6" w14:textId="70B7E5F9" w:rsidR="007F780A" w:rsidRDefault="007F780A">
          <w:pPr>
            <w:pStyle w:val="TOC2"/>
            <w:rPr>
              <w:rFonts w:cstheme="minorBidi"/>
              <w:color w:val="auto"/>
              <w:kern w:val="2"/>
              <w:sz w:val="24"/>
              <w:szCs w:val="24"/>
              <w:lang w:val="pl-PL" w:eastAsia="pl-PL"/>
              <w14:ligatures w14:val="standardContextual"/>
            </w:rPr>
          </w:pPr>
          <w:hyperlink w:anchor="_Toc195789358" w:history="1">
            <w:r w:rsidRPr="000B4D1F">
              <w:rPr>
                <w:rStyle w:val="Hyperlink"/>
                <w:lang w:val="en-GB" w:bidi="en-GB"/>
              </w:rPr>
              <w:t>Summary of observations</w:t>
            </w:r>
            <w:r>
              <w:rPr>
                <w:webHidden/>
              </w:rPr>
              <w:tab/>
            </w:r>
            <w:r>
              <w:rPr>
                <w:webHidden/>
              </w:rPr>
              <w:fldChar w:fldCharType="begin"/>
            </w:r>
            <w:r>
              <w:rPr>
                <w:webHidden/>
              </w:rPr>
              <w:instrText xml:space="preserve"> PAGEREF _Toc195789358 \h </w:instrText>
            </w:r>
            <w:r>
              <w:rPr>
                <w:webHidden/>
              </w:rPr>
            </w:r>
            <w:r>
              <w:rPr>
                <w:webHidden/>
              </w:rPr>
              <w:fldChar w:fldCharType="separate"/>
            </w:r>
            <w:r>
              <w:rPr>
                <w:webHidden/>
              </w:rPr>
              <w:t>10</w:t>
            </w:r>
            <w:r>
              <w:rPr>
                <w:webHidden/>
              </w:rPr>
              <w:fldChar w:fldCharType="end"/>
            </w:r>
          </w:hyperlink>
        </w:p>
        <w:p w14:paraId="1A1404AF" w14:textId="7AA00675"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59" w:history="1">
            <w:r w:rsidRPr="000B4D1F">
              <w:rPr>
                <w:rStyle w:val="Hyperlink"/>
                <w:noProof/>
              </w:rPr>
              <w:t>Appendix A – List of new elements added to IFRS 2025 taxonomy</w:t>
            </w:r>
            <w:r>
              <w:rPr>
                <w:noProof/>
                <w:webHidden/>
              </w:rPr>
              <w:tab/>
            </w:r>
            <w:r>
              <w:rPr>
                <w:noProof/>
                <w:webHidden/>
              </w:rPr>
              <w:fldChar w:fldCharType="begin"/>
            </w:r>
            <w:r>
              <w:rPr>
                <w:noProof/>
                <w:webHidden/>
              </w:rPr>
              <w:instrText xml:space="preserve"> PAGEREF _Toc195789359 \h </w:instrText>
            </w:r>
            <w:r>
              <w:rPr>
                <w:noProof/>
                <w:webHidden/>
              </w:rPr>
            </w:r>
            <w:r>
              <w:rPr>
                <w:noProof/>
                <w:webHidden/>
              </w:rPr>
              <w:fldChar w:fldCharType="separate"/>
            </w:r>
            <w:r>
              <w:rPr>
                <w:noProof/>
                <w:webHidden/>
              </w:rPr>
              <w:t>12</w:t>
            </w:r>
            <w:r>
              <w:rPr>
                <w:noProof/>
                <w:webHidden/>
              </w:rPr>
              <w:fldChar w:fldCharType="end"/>
            </w:r>
          </w:hyperlink>
        </w:p>
        <w:p w14:paraId="0D046EB1" w14:textId="703257FA"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60" w:history="1">
            <w:r w:rsidRPr="000B4D1F">
              <w:rPr>
                <w:rStyle w:val="Hyperlink"/>
                <w:noProof/>
              </w:rPr>
              <w:t>Appendix B – List of elements deprecated in IFRS 2025 taxonomy</w:t>
            </w:r>
            <w:r>
              <w:rPr>
                <w:noProof/>
                <w:webHidden/>
              </w:rPr>
              <w:tab/>
            </w:r>
            <w:r>
              <w:rPr>
                <w:noProof/>
                <w:webHidden/>
              </w:rPr>
              <w:fldChar w:fldCharType="begin"/>
            </w:r>
            <w:r>
              <w:rPr>
                <w:noProof/>
                <w:webHidden/>
              </w:rPr>
              <w:instrText xml:space="preserve"> PAGEREF _Toc195789360 \h </w:instrText>
            </w:r>
            <w:r>
              <w:rPr>
                <w:noProof/>
                <w:webHidden/>
              </w:rPr>
            </w:r>
            <w:r>
              <w:rPr>
                <w:noProof/>
                <w:webHidden/>
              </w:rPr>
              <w:fldChar w:fldCharType="separate"/>
            </w:r>
            <w:r>
              <w:rPr>
                <w:noProof/>
                <w:webHidden/>
              </w:rPr>
              <w:t>12</w:t>
            </w:r>
            <w:r>
              <w:rPr>
                <w:noProof/>
                <w:webHidden/>
              </w:rPr>
              <w:fldChar w:fldCharType="end"/>
            </w:r>
          </w:hyperlink>
        </w:p>
        <w:p w14:paraId="7E1729DB" w14:textId="11D11B0E"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61" w:history="1">
            <w:r w:rsidRPr="000B4D1F">
              <w:rPr>
                <w:rStyle w:val="Hyperlink"/>
                <w:noProof/>
              </w:rPr>
              <w:t>Appendix C – List of elements modified in IFRS 2025 taxonomy</w:t>
            </w:r>
            <w:r>
              <w:rPr>
                <w:noProof/>
                <w:webHidden/>
              </w:rPr>
              <w:tab/>
            </w:r>
            <w:r>
              <w:rPr>
                <w:noProof/>
                <w:webHidden/>
              </w:rPr>
              <w:fldChar w:fldCharType="begin"/>
            </w:r>
            <w:r>
              <w:rPr>
                <w:noProof/>
                <w:webHidden/>
              </w:rPr>
              <w:instrText xml:space="preserve"> PAGEREF _Toc195789361 \h </w:instrText>
            </w:r>
            <w:r>
              <w:rPr>
                <w:noProof/>
                <w:webHidden/>
              </w:rPr>
            </w:r>
            <w:r>
              <w:rPr>
                <w:noProof/>
                <w:webHidden/>
              </w:rPr>
              <w:fldChar w:fldCharType="separate"/>
            </w:r>
            <w:r>
              <w:rPr>
                <w:noProof/>
                <w:webHidden/>
              </w:rPr>
              <w:t>12</w:t>
            </w:r>
            <w:r>
              <w:rPr>
                <w:noProof/>
                <w:webHidden/>
              </w:rPr>
              <w:fldChar w:fldCharType="end"/>
            </w:r>
          </w:hyperlink>
        </w:p>
        <w:p w14:paraId="59ADA12E" w14:textId="5495A3DE" w:rsidR="007F780A" w:rsidRDefault="007F780A">
          <w:pPr>
            <w:pStyle w:val="TOC1"/>
            <w:rPr>
              <w:rFonts w:asciiTheme="minorHAnsi" w:eastAsiaTheme="minorEastAsia" w:hAnsiTheme="minorHAnsi" w:cstheme="minorBidi"/>
              <w:noProof/>
              <w:color w:val="auto"/>
              <w:kern w:val="2"/>
              <w:sz w:val="24"/>
              <w:szCs w:val="24"/>
              <w:lang w:val="pl-PL" w:eastAsia="pl-PL" w:bidi="ar-SA"/>
              <w14:ligatures w14:val="standardContextual"/>
            </w:rPr>
          </w:pPr>
          <w:hyperlink w:anchor="_Toc195789362" w:history="1">
            <w:r w:rsidRPr="000B4D1F">
              <w:rPr>
                <w:rStyle w:val="Hyperlink"/>
                <w:noProof/>
              </w:rPr>
              <w:t>Appendix D – IFRS FULL taxonomy 2025 (early application of IFRS 18) versioning report</w:t>
            </w:r>
            <w:r>
              <w:rPr>
                <w:noProof/>
                <w:webHidden/>
              </w:rPr>
              <w:tab/>
            </w:r>
            <w:r>
              <w:rPr>
                <w:noProof/>
                <w:webHidden/>
              </w:rPr>
              <w:fldChar w:fldCharType="begin"/>
            </w:r>
            <w:r>
              <w:rPr>
                <w:noProof/>
                <w:webHidden/>
              </w:rPr>
              <w:instrText xml:space="preserve"> PAGEREF _Toc195789362 \h </w:instrText>
            </w:r>
            <w:r>
              <w:rPr>
                <w:noProof/>
                <w:webHidden/>
              </w:rPr>
            </w:r>
            <w:r>
              <w:rPr>
                <w:noProof/>
                <w:webHidden/>
              </w:rPr>
              <w:fldChar w:fldCharType="separate"/>
            </w:r>
            <w:r>
              <w:rPr>
                <w:noProof/>
                <w:webHidden/>
              </w:rPr>
              <w:t>12</w:t>
            </w:r>
            <w:r>
              <w:rPr>
                <w:noProof/>
                <w:webHidden/>
              </w:rPr>
              <w:fldChar w:fldCharType="end"/>
            </w:r>
          </w:hyperlink>
        </w:p>
        <w:p w14:paraId="46B2DEC8" w14:textId="750D4DD4" w:rsidR="009A1C7D" w:rsidRPr="00E242D2" w:rsidRDefault="009A1C7D" w:rsidP="0084220F">
          <w:pPr>
            <w:pStyle w:val="TOC1"/>
            <w:tabs>
              <w:tab w:val="right" w:leader="dot" w:pos="9030"/>
            </w:tabs>
            <w:rPr>
              <w:rStyle w:val="Hyperlink"/>
              <w:lang w:bidi="ar-SA"/>
            </w:rPr>
          </w:pPr>
          <w:r w:rsidRPr="00E242D2">
            <w:fldChar w:fldCharType="end"/>
          </w:r>
        </w:p>
      </w:sdtContent>
    </w:sdt>
    <w:p w14:paraId="5D0C03CB" w14:textId="3104A402" w:rsidR="00D802E8" w:rsidRPr="00E242D2" w:rsidRDefault="00D802E8" w:rsidP="009F67EB">
      <w:pPr>
        <w:pStyle w:val="indexlevel1"/>
        <w:rPr>
          <w:noProof w:val="0"/>
          <w:lang w:val="en-GB"/>
        </w:rPr>
      </w:pPr>
    </w:p>
    <w:p w14:paraId="30FA6281" w14:textId="77777777" w:rsidR="0024363C" w:rsidRPr="00E242D2" w:rsidRDefault="0024363C" w:rsidP="00694397">
      <w:r w:rsidRPr="00E242D2">
        <w:br w:type="page"/>
      </w:r>
    </w:p>
    <w:p w14:paraId="008C2ADF" w14:textId="08C3A271" w:rsidR="00A96421" w:rsidRPr="00E242D2" w:rsidRDefault="00D93E5B" w:rsidP="00961D4A">
      <w:pPr>
        <w:pStyle w:val="MainTitel"/>
        <w:rPr>
          <w:lang w:val="en-GB"/>
        </w:rPr>
      </w:pPr>
      <w:bookmarkStart w:id="0" w:name="_Toc508876749"/>
      <w:bookmarkStart w:id="1" w:name="_Toc195789341"/>
      <w:r w:rsidRPr="00E242D2">
        <w:rPr>
          <w:lang w:val="en-GB"/>
        </w:rPr>
        <w:lastRenderedPageBreak/>
        <w:t>List of appendices</w:t>
      </w:r>
      <w:bookmarkStart w:id="2" w:name="_Toc508876750"/>
      <w:bookmarkStart w:id="3" w:name="_Toc508876751"/>
      <w:bookmarkEnd w:id="0"/>
      <w:bookmarkEnd w:id="1"/>
    </w:p>
    <w:p w14:paraId="09EE4FAA" w14:textId="456193C2" w:rsidR="00A96421" w:rsidRPr="00E242D2" w:rsidRDefault="00A96421" w:rsidP="002112F9">
      <w:pPr>
        <w:pStyle w:val="MainBodyText"/>
        <w:rPr>
          <w:lang w:val="en-GB"/>
        </w:rPr>
      </w:pPr>
      <w:r w:rsidRPr="00E242D2">
        <w:rPr>
          <w:lang w:val="en-GB"/>
        </w:rPr>
        <w:t xml:space="preserve">Appendix A </w:t>
      </w:r>
      <w:r w:rsidR="002112F9" w:rsidRPr="00E242D2">
        <w:rPr>
          <w:lang w:val="en-GB"/>
        </w:rPr>
        <w:t xml:space="preserve">– </w:t>
      </w:r>
      <w:r w:rsidRPr="00E242D2">
        <w:rPr>
          <w:lang w:val="en-GB"/>
        </w:rPr>
        <w:t xml:space="preserve">List of </w:t>
      </w:r>
      <w:r w:rsidR="002112F9" w:rsidRPr="00E242D2">
        <w:rPr>
          <w:lang w:val="en-GB"/>
        </w:rPr>
        <w:t xml:space="preserve">new </w:t>
      </w:r>
      <w:r w:rsidRPr="00E242D2">
        <w:rPr>
          <w:lang w:val="en-GB"/>
        </w:rPr>
        <w:t xml:space="preserve">elements added </w:t>
      </w:r>
      <w:r w:rsidR="002112F9" w:rsidRPr="00E242D2">
        <w:rPr>
          <w:lang w:val="en-GB"/>
        </w:rPr>
        <w:t>to</w:t>
      </w:r>
      <w:r w:rsidRPr="00E242D2">
        <w:rPr>
          <w:lang w:val="en-GB"/>
        </w:rPr>
        <w:t xml:space="preserve"> IFRS 20</w:t>
      </w:r>
      <w:r w:rsidR="00AA4CAF" w:rsidRPr="00E242D2">
        <w:rPr>
          <w:lang w:val="en-GB"/>
        </w:rPr>
        <w:t>2</w:t>
      </w:r>
      <w:r w:rsidR="002447D3" w:rsidRPr="00E242D2">
        <w:rPr>
          <w:lang w:val="en-GB"/>
        </w:rPr>
        <w:t>5</w:t>
      </w:r>
      <w:r w:rsidR="002112F9" w:rsidRPr="00E242D2">
        <w:rPr>
          <w:lang w:val="en-GB"/>
        </w:rPr>
        <w:t xml:space="preserve"> taxonomy</w:t>
      </w:r>
      <w:r w:rsidR="001753FF" w:rsidRPr="00E242D2">
        <w:rPr>
          <w:lang w:val="en-GB"/>
        </w:rPr>
        <w:br/>
        <w:t>Appendix B – List of elements deprecated in IFRS 202</w:t>
      </w:r>
      <w:r w:rsidR="002447D3" w:rsidRPr="00E242D2">
        <w:rPr>
          <w:lang w:val="en-GB"/>
        </w:rPr>
        <w:t>5</w:t>
      </w:r>
      <w:r w:rsidR="001753FF" w:rsidRPr="00E242D2">
        <w:rPr>
          <w:lang w:val="en-GB"/>
        </w:rPr>
        <w:t xml:space="preserve"> taxonomy</w:t>
      </w:r>
    </w:p>
    <w:p w14:paraId="6B2E75E3" w14:textId="41CD4B84" w:rsidR="00EA3A5E" w:rsidRPr="00E242D2" w:rsidRDefault="001110EE" w:rsidP="00EA3A5E">
      <w:pPr>
        <w:pStyle w:val="MainBodyText"/>
        <w:spacing w:before="0" w:after="240"/>
        <w:rPr>
          <w:lang w:val="en-GB"/>
        </w:rPr>
      </w:pPr>
      <w:r w:rsidRPr="00E242D2">
        <w:rPr>
          <w:lang w:val="en-GB"/>
        </w:rPr>
        <w:t xml:space="preserve">Appendix </w:t>
      </w:r>
      <w:r w:rsidR="001753FF" w:rsidRPr="00E242D2">
        <w:rPr>
          <w:lang w:val="en-GB"/>
        </w:rPr>
        <w:t>C</w:t>
      </w:r>
      <w:r w:rsidRPr="00E242D2">
        <w:rPr>
          <w:lang w:val="en-GB"/>
        </w:rPr>
        <w:t xml:space="preserve"> – List of elements modified in IFRS 202</w:t>
      </w:r>
      <w:r w:rsidR="002447D3" w:rsidRPr="00E242D2">
        <w:rPr>
          <w:lang w:val="en-GB"/>
        </w:rPr>
        <w:t>5</w:t>
      </w:r>
      <w:r w:rsidRPr="00E242D2">
        <w:rPr>
          <w:lang w:val="en-GB"/>
        </w:rPr>
        <w:t xml:space="preserve"> taxonomy</w:t>
      </w:r>
      <w:r w:rsidRPr="00E242D2" w:rsidDel="001110EE">
        <w:rPr>
          <w:lang w:val="en-GB"/>
        </w:rPr>
        <w:t xml:space="preserve"> </w:t>
      </w:r>
      <w:r w:rsidRPr="00E242D2">
        <w:rPr>
          <w:lang w:val="en-GB"/>
        </w:rPr>
        <w:br/>
        <w:t xml:space="preserve">Appendix </w:t>
      </w:r>
      <w:r w:rsidR="001753FF" w:rsidRPr="00E242D2">
        <w:rPr>
          <w:lang w:val="en-GB"/>
        </w:rPr>
        <w:t>D</w:t>
      </w:r>
      <w:r w:rsidRPr="00E242D2">
        <w:rPr>
          <w:lang w:val="en-GB"/>
        </w:rPr>
        <w:t xml:space="preserve"> – IFRS </w:t>
      </w:r>
      <w:r w:rsidR="00EA3A5E" w:rsidRPr="00E242D2">
        <w:rPr>
          <w:lang w:val="en-GB"/>
        </w:rPr>
        <w:t>FULL</w:t>
      </w:r>
      <w:r w:rsidR="004C1F69" w:rsidRPr="00E242D2">
        <w:rPr>
          <w:lang w:val="en-GB"/>
        </w:rPr>
        <w:t xml:space="preserve"> </w:t>
      </w:r>
      <w:r w:rsidRPr="00E242D2">
        <w:rPr>
          <w:lang w:val="en-GB"/>
        </w:rPr>
        <w:t>taxonomy 202</w:t>
      </w:r>
      <w:r w:rsidR="002447D3" w:rsidRPr="00E242D2">
        <w:rPr>
          <w:lang w:val="en-GB"/>
        </w:rPr>
        <w:t>5</w:t>
      </w:r>
      <w:r w:rsidRPr="00E242D2">
        <w:rPr>
          <w:lang w:val="en-GB"/>
        </w:rPr>
        <w:t xml:space="preserve"> </w:t>
      </w:r>
      <w:r w:rsidR="007702A2" w:rsidRPr="00E242D2">
        <w:rPr>
          <w:lang w:val="en-GB"/>
        </w:rPr>
        <w:t xml:space="preserve">(early application of IFRS 18) </w:t>
      </w:r>
      <w:r w:rsidRPr="00E242D2">
        <w:rPr>
          <w:lang w:val="en-GB"/>
        </w:rPr>
        <w:t>versioning report</w:t>
      </w:r>
    </w:p>
    <w:p w14:paraId="3F94FA8C" w14:textId="120A2A53" w:rsidR="00DD086A" w:rsidRPr="00E242D2" w:rsidRDefault="00DD086A" w:rsidP="00961D4A">
      <w:pPr>
        <w:pStyle w:val="MainTitel"/>
        <w:rPr>
          <w:lang w:val="en-GB"/>
        </w:rPr>
      </w:pPr>
      <w:bookmarkStart w:id="4" w:name="_Toc195789342"/>
      <w:r w:rsidRPr="00E242D2">
        <w:rPr>
          <w:lang w:val="en-GB"/>
        </w:rPr>
        <w:t>About this document</w:t>
      </w:r>
      <w:bookmarkEnd w:id="2"/>
      <w:bookmarkEnd w:id="4"/>
    </w:p>
    <w:p w14:paraId="24E62DBA" w14:textId="6CB72171" w:rsidR="0033474D" w:rsidRPr="00E242D2" w:rsidRDefault="00DD086A" w:rsidP="0033474D">
      <w:pPr>
        <w:pStyle w:val="MainBodyText"/>
        <w:ind w:right="39"/>
        <w:jc w:val="both"/>
        <w:rPr>
          <w:bCs/>
          <w:lang w:val="en-GB"/>
        </w:rPr>
      </w:pPr>
      <w:r w:rsidRPr="00E242D2">
        <w:rPr>
          <w:lang w:val="en-GB"/>
        </w:rPr>
        <w:t>This document presents the outcome of gap analysis conducted on the CIPC XBRL Taxonomy 20</w:t>
      </w:r>
      <w:r w:rsidR="00F14DB2" w:rsidRPr="00E242D2">
        <w:rPr>
          <w:lang w:val="en-GB"/>
        </w:rPr>
        <w:t>2</w:t>
      </w:r>
      <w:r w:rsidR="002447D3" w:rsidRPr="00E242D2">
        <w:rPr>
          <w:lang w:val="en-GB"/>
        </w:rPr>
        <w:t>4</w:t>
      </w:r>
      <w:r w:rsidRPr="00E242D2">
        <w:rPr>
          <w:lang w:val="en-GB"/>
        </w:rPr>
        <w:t xml:space="preserve"> as </w:t>
      </w:r>
      <w:r w:rsidR="002112F9" w:rsidRPr="00E242D2">
        <w:rPr>
          <w:lang w:val="en-GB"/>
        </w:rPr>
        <w:t>developed</w:t>
      </w:r>
      <w:r w:rsidRPr="00E242D2">
        <w:rPr>
          <w:lang w:val="en-GB"/>
        </w:rPr>
        <w:t xml:space="preserve"> by the Companies and Intellectual Property Commission</w:t>
      </w:r>
      <w:r w:rsidR="00C9764E" w:rsidRPr="00E242D2">
        <w:rPr>
          <w:lang w:val="en-GB"/>
        </w:rPr>
        <w:t xml:space="preserve"> (CIPC)</w:t>
      </w:r>
      <w:r w:rsidRPr="00E242D2">
        <w:rPr>
          <w:lang w:val="en-GB"/>
        </w:rPr>
        <w:t xml:space="preserve">, to identify potential areas for taxonomy improvements in terms of the scope of information requirements covered and the technical application of the XBRL standard. </w:t>
      </w:r>
      <w:r w:rsidR="0033474D" w:rsidRPr="00E242D2">
        <w:rPr>
          <w:lang w:val="en-GB"/>
        </w:rPr>
        <w:t xml:space="preserve">In particular, </w:t>
      </w:r>
      <w:r w:rsidR="0033474D" w:rsidRPr="00E242D2">
        <w:rPr>
          <w:bCs/>
          <w:lang w:val="en-GB"/>
        </w:rPr>
        <w:t>the document presents an overview of differences between the International Financial Reporting Standards (IFRS) Taxonomy 202</w:t>
      </w:r>
      <w:r w:rsidR="002447D3" w:rsidRPr="00E242D2">
        <w:rPr>
          <w:bCs/>
          <w:lang w:val="en-GB"/>
        </w:rPr>
        <w:t>5</w:t>
      </w:r>
      <w:r w:rsidR="000C324C" w:rsidRPr="00E242D2">
        <w:rPr>
          <w:bCs/>
          <w:lang w:val="en-GB"/>
        </w:rPr>
        <w:t xml:space="preserve"> (IFRS 18)</w:t>
      </w:r>
      <w:r w:rsidR="0033474D" w:rsidRPr="00E242D2">
        <w:rPr>
          <w:bCs/>
          <w:lang w:val="en-GB"/>
        </w:rPr>
        <w:t xml:space="preserve"> and the current CIPC Taxonomy 202</w:t>
      </w:r>
      <w:r w:rsidR="002447D3" w:rsidRPr="00E242D2">
        <w:rPr>
          <w:bCs/>
          <w:lang w:val="en-GB"/>
        </w:rPr>
        <w:t>4</w:t>
      </w:r>
      <w:r w:rsidR="0033474D" w:rsidRPr="00E242D2">
        <w:rPr>
          <w:bCs/>
          <w:lang w:val="en-GB"/>
        </w:rPr>
        <w:t>, their impact on the CIPC structures and recommended steps to be taken by the CIPC in their future releases of the taxonomy. It includes in its scope the IFRS-full</w:t>
      </w:r>
      <w:r w:rsidR="002447D3" w:rsidRPr="00E242D2">
        <w:rPr>
          <w:bCs/>
          <w:lang w:val="en-GB"/>
        </w:rPr>
        <w:t>,</w:t>
      </w:r>
      <w:r w:rsidR="0033474D" w:rsidRPr="00E242D2">
        <w:rPr>
          <w:bCs/>
          <w:lang w:val="en-GB"/>
        </w:rPr>
        <w:t xml:space="preserve"> IFRS for SMEs </w:t>
      </w:r>
      <w:r w:rsidR="002447D3" w:rsidRPr="00E242D2">
        <w:rPr>
          <w:bCs/>
          <w:lang w:val="en-GB"/>
        </w:rPr>
        <w:t xml:space="preserve">and Sustainability </w:t>
      </w:r>
      <w:r w:rsidR="0033474D" w:rsidRPr="00E242D2">
        <w:rPr>
          <w:bCs/>
          <w:lang w:val="en-GB"/>
        </w:rPr>
        <w:t>taxonomies.</w:t>
      </w:r>
      <w:r w:rsidR="00BD4049" w:rsidRPr="00E242D2">
        <w:rPr>
          <w:bCs/>
          <w:lang w:val="en-GB"/>
        </w:rPr>
        <w:t xml:space="preserve"> </w:t>
      </w:r>
    </w:p>
    <w:p w14:paraId="6CA4797A" w14:textId="6C1C0386" w:rsidR="00DD086A" w:rsidRPr="00E242D2" w:rsidRDefault="00DD086A" w:rsidP="00E242D2">
      <w:pPr>
        <w:pStyle w:val="MainBodyText"/>
        <w:spacing w:after="240"/>
        <w:ind w:right="39"/>
        <w:jc w:val="both"/>
        <w:rPr>
          <w:bCs/>
          <w:lang w:val="en-GB"/>
        </w:rPr>
      </w:pPr>
      <w:r w:rsidRPr="00E242D2">
        <w:rPr>
          <w:lang w:val="en-GB"/>
        </w:rPr>
        <w:t xml:space="preserve">The document was created by Business Reporting – Advisory Group as part of CIPC Contract No.: CIPC Tender </w:t>
      </w:r>
      <w:r w:rsidR="0048336D" w:rsidRPr="00E242D2">
        <w:rPr>
          <w:lang w:val="en-GB"/>
        </w:rPr>
        <w:t xml:space="preserve">17/2023/2024 </w:t>
      </w:r>
      <w:r w:rsidRPr="00E242D2">
        <w:rPr>
          <w:lang w:val="en-GB"/>
        </w:rPr>
        <w:t>and w</w:t>
      </w:r>
      <w:r w:rsidRPr="00E242D2">
        <w:rPr>
          <w:bCs/>
          <w:lang w:val="en-GB"/>
        </w:rPr>
        <w:t xml:space="preserve">ill be </w:t>
      </w:r>
      <w:r w:rsidRPr="00E242D2">
        <w:rPr>
          <w:lang w:val="en-GB"/>
        </w:rPr>
        <w:t>subject to review by the CIPC XBRL project team</w:t>
      </w:r>
      <w:r w:rsidR="00AF0D82" w:rsidRPr="00E242D2">
        <w:rPr>
          <w:lang w:val="en-GB"/>
        </w:rPr>
        <w:t>, CIPC stakeholders</w:t>
      </w:r>
      <w:r w:rsidRPr="00E242D2">
        <w:rPr>
          <w:lang w:val="en-GB"/>
        </w:rPr>
        <w:t xml:space="preserve"> and representatives of </w:t>
      </w:r>
      <w:r w:rsidRPr="00E242D2">
        <w:rPr>
          <w:bCs/>
          <w:lang w:val="en-GB"/>
        </w:rPr>
        <w:t>various professional bodies in South Africa</w:t>
      </w:r>
      <w:r w:rsidR="005A669A" w:rsidRPr="00E242D2">
        <w:rPr>
          <w:bCs/>
          <w:lang w:val="en-GB"/>
        </w:rPr>
        <w:t>.</w:t>
      </w:r>
    </w:p>
    <w:p w14:paraId="4E06133A" w14:textId="77777777" w:rsidR="007101B4" w:rsidRDefault="007101B4">
      <w:pPr>
        <w:rPr>
          <w:rFonts w:ascii="Open Sans SemiBold" w:hAnsi="Open Sans SemiBold" w:cs="Open Sans SemiBold"/>
          <w:bCs/>
          <w:color w:val="3369A9"/>
          <w:sz w:val="26"/>
          <w:szCs w:val="26"/>
        </w:rPr>
      </w:pPr>
      <w:r>
        <w:br w:type="page"/>
      </w:r>
    </w:p>
    <w:p w14:paraId="25411BFE" w14:textId="4C7F6302" w:rsidR="00E242D2" w:rsidRPr="00E242D2" w:rsidRDefault="00E242D2" w:rsidP="00E242D2">
      <w:pPr>
        <w:pStyle w:val="MainTitel"/>
        <w:rPr>
          <w:lang w:val="en-GB"/>
        </w:rPr>
      </w:pPr>
      <w:bookmarkStart w:id="5" w:name="_Toc195789343"/>
      <w:r w:rsidRPr="00E242D2">
        <w:rPr>
          <w:lang w:val="en-GB"/>
        </w:rPr>
        <w:lastRenderedPageBreak/>
        <w:t>Executive summary</w:t>
      </w:r>
      <w:bookmarkEnd w:id="5"/>
    </w:p>
    <w:p w14:paraId="2FB35661" w14:textId="03ADE490" w:rsidR="00194BB3" w:rsidRPr="00194BB3" w:rsidRDefault="00194BB3" w:rsidP="00194BB3">
      <w:pPr>
        <w:pStyle w:val="MainBodyText"/>
        <w:ind w:right="39"/>
        <w:jc w:val="both"/>
        <w:rPr>
          <w:lang w:val="en-GB"/>
        </w:rPr>
      </w:pPr>
      <w:r w:rsidRPr="00194BB3">
        <w:rPr>
          <w:lang w:val="en-GB"/>
        </w:rPr>
        <w:t>The Gap</w:t>
      </w:r>
      <w:r>
        <w:rPr>
          <w:lang w:val="en-GB"/>
        </w:rPr>
        <w:t xml:space="preserve"> </w:t>
      </w:r>
      <w:r w:rsidRPr="00194BB3">
        <w:rPr>
          <w:lang w:val="en-GB"/>
        </w:rPr>
        <w:t>Analysis assessed differences between CIPC XBRL Taxonomy 2024 and the newly released IFRS XBRL Taxonomy 2025 (published 27</w:t>
      </w:r>
      <w:r>
        <w:rPr>
          <w:lang w:val="en-GB"/>
        </w:rPr>
        <w:t xml:space="preserve"> </w:t>
      </w:r>
      <w:r w:rsidRPr="00194BB3">
        <w:rPr>
          <w:lang w:val="en-GB"/>
        </w:rPr>
        <w:t>Mar</w:t>
      </w:r>
      <w:r>
        <w:rPr>
          <w:lang w:val="en-GB"/>
        </w:rPr>
        <w:t xml:space="preserve">ch </w:t>
      </w:r>
      <w:r w:rsidRPr="00194BB3">
        <w:rPr>
          <w:lang w:val="en-GB"/>
        </w:rPr>
        <w:t>2025), which incorporates updates to support</w:t>
      </w:r>
      <w:r>
        <w:rPr>
          <w:lang w:val="en-GB"/>
        </w:rPr>
        <w:t xml:space="preserve"> both options for IAS 1 and</w:t>
      </w:r>
      <w:r w:rsidRPr="00194BB3">
        <w:rPr>
          <w:lang w:val="en-GB"/>
        </w:rPr>
        <w:t xml:space="preserve"> IFRS 18. CIPC </w:t>
      </w:r>
      <w:r w:rsidR="005718EF">
        <w:rPr>
          <w:lang w:val="en-GB"/>
        </w:rPr>
        <w:t>adopts</w:t>
      </w:r>
      <w:r w:rsidRPr="00194BB3">
        <w:rPr>
          <w:lang w:val="en-GB"/>
        </w:rPr>
        <w:t xml:space="preserve"> </w:t>
      </w:r>
      <w:r w:rsidR="002D7AA8">
        <w:rPr>
          <w:lang w:val="en-GB"/>
        </w:rPr>
        <w:t xml:space="preserve">the </w:t>
      </w:r>
      <w:r w:rsidRPr="002D7AA8">
        <w:rPr>
          <w:i/>
          <w:iCs/>
          <w:lang w:val="en-GB"/>
        </w:rPr>
        <w:t xml:space="preserve">Early Application </w:t>
      </w:r>
      <w:proofErr w:type="gramStart"/>
      <w:r w:rsidRPr="002D7AA8">
        <w:rPr>
          <w:i/>
          <w:iCs/>
          <w:lang w:val="en-GB"/>
        </w:rPr>
        <w:t>Of</w:t>
      </w:r>
      <w:proofErr w:type="gramEnd"/>
      <w:r w:rsidRPr="002D7AA8">
        <w:rPr>
          <w:i/>
          <w:iCs/>
          <w:lang w:val="en-GB"/>
        </w:rPr>
        <w:t xml:space="preserve"> IFRS 18 Entry Point</w:t>
      </w:r>
      <w:r w:rsidRPr="00194BB3">
        <w:rPr>
          <w:lang w:val="en-GB"/>
        </w:rPr>
        <w:t xml:space="preserve"> as reporting basis. Analysis focused on informational requirements, excluding technical architecture and validation rules.</w:t>
      </w:r>
    </w:p>
    <w:p w14:paraId="0E0590E5" w14:textId="76DC1B77" w:rsidR="00194BB3" w:rsidRPr="00194BB3" w:rsidRDefault="00194BB3" w:rsidP="00194BB3">
      <w:pPr>
        <w:pStyle w:val="MainBodyText"/>
        <w:ind w:right="39"/>
        <w:jc w:val="both"/>
        <w:rPr>
          <w:lang w:val="en-GB"/>
        </w:rPr>
      </w:pPr>
      <w:r w:rsidRPr="00194BB3">
        <w:rPr>
          <w:lang w:val="en-GB"/>
        </w:rPr>
        <w:t>Key</w:t>
      </w:r>
      <w:r w:rsidR="002D7AA8">
        <w:rPr>
          <w:lang w:val="en-GB"/>
        </w:rPr>
        <w:t xml:space="preserve"> f</w:t>
      </w:r>
      <w:r w:rsidRPr="00194BB3">
        <w:rPr>
          <w:lang w:val="en-GB"/>
        </w:rPr>
        <w:t>indings:</w:t>
      </w:r>
    </w:p>
    <w:p w14:paraId="069469E0" w14:textId="0B216464" w:rsidR="00194BB3" w:rsidRPr="00194BB3" w:rsidRDefault="00194BB3" w:rsidP="00194BB3">
      <w:pPr>
        <w:pStyle w:val="MainBodyText"/>
        <w:numPr>
          <w:ilvl w:val="0"/>
          <w:numId w:val="62"/>
        </w:numPr>
        <w:ind w:right="39"/>
        <w:jc w:val="both"/>
        <w:rPr>
          <w:lang w:val="en-GB"/>
        </w:rPr>
      </w:pPr>
      <w:r w:rsidRPr="00194BB3">
        <w:rPr>
          <w:lang w:val="en-GB"/>
        </w:rPr>
        <w:t>IFRS</w:t>
      </w:r>
      <w:r w:rsidR="002D7AA8" w:rsidRPr="002D7AA8">
        <w:rPr>
          <w:lang w:val="en-GB"/>
        </w:rPr>
        <w:t xml:space="preserve"> Taxonomy </w:t>
      </w:r>
      <w:r w:rsidRPr="00194BB3">
        <w:rPr>
          <w:lang w:val="en-GB"/>
        </w:rPr>
        <w:t>2025 introduces 185 new elements, removes 1, resulting in a net increase of +184 elements</w:t>
      </w:r>
      <w:r w:rsidR="002D7AA8">
        <w:rPr>
          <w:lang w:val="en-GB"/>
        </w:rPr>
        <w:t>.</w:t>
      </w:r>
      <w:r w:rsidR="007101B4">
        <w:rPr>
          <w:lang w:val="en-GB"/>
        </w:rPr>
        <w:t xml:space="preserve"> 291 elements where modified.</w:t>
      </w:r>
    </w:p>
    <w:p w14:paraId="06AE7133" w14:textId="3B129E33" w:rsidR="00194BB3" w:rsidRPr="00194BB3" w:rsidRDefault="00194BB3" w:rsidP="00194BB3">
      <w:pPr>
        <w:pStyle w:val="MainBodyText"/>
        <w:numPr>
          <w:ilvl w:val="0"/>
          <w:numId w:val="62"/>
        </w:numPr>
        <w:ind w:right="39"/>
        <w:jc w:val="both"/>
        <w:rPr>
          <w:lang w:val="en-GB"/>
        </w:rPr>
      </w:pPr>
      <w:r w:rsidRPr="00194BB3">
        <w:rPr>
          <w:lang w:val="en-GB"/>
        </w:rPr>
        <w:t>Most additions relate to implementation of IFRS</w:t>
      </w:r>
      <w:r w:rsidR="002D7AA8">
        <w:rPr>
          <w:lang w:val="en-GB"/>
        </w:rPr>
        <w:t xml:space="preserve"> </w:t>
      </w:r>
      <w:r w:rsidRPr="00194BB3">
        <w:rPr>
          <w:lang w:val="en-GB"/>
        </w:rPr>
        <w:t>18 (Presentation</w:t>
      </w:r>
      <w:r w:rsidR="002D7AA8">
        <w:rPr>
          <w:lang w:val="en-GB"/>
        </w:rPr>
        <w:t xml:space="preserve"> </w:t>
      </w:r>
      <w:proofErr w:type="gramStart"/>
      <w:r w:rsidRPr="00194BB3">
        <w:rPr>
          <w:lang w:val="en-GB"/>
        </w:rPr>
        <w:t>Of</w:t>
      </w:r>
      <w:proofErr w:type="gramEnd"/>
      <w:r w:rsidR="002D7AA8">
        <w:rPr>
          <w:lang w:val="en-GB"/>
        </w:rPr>
        <w:t xml:space="preserve"> </w:t>
      </w:r>
      <w:r w:rsidRPr="00194BB3">
        <w:rPr>
          <w:lang w:val="en-GB"/>
        </w:rPr>
        <w:t>Financial</w:t>
      </w:r>
      <w:r w:rsidR="002D7AA8">
        <w:rPr>
          <w:lang w:val="en-GB"/>
        </w:rPr>
        <w:t xml:space="preserve"> </w:t>
      </w:r>
      <w:r w:rsidRPr="00194BB3">
        <w:rPr>
          <w:lang w:val="en-GB"/>
        </w:rPr>
        <w:t>Statements) and IFRS</w:t>
      </w:r>
      <w:r w:rsidR="002D7AA8">
        <w:rPr>
          <w:lang w:val="en-GB"/>
        </w:rPr>
        <w:t xml:space="preserve"> </w:t>
      </w:r>
      <w:r w:rsidRPr="00194BB3">
        <w:rPr>
          <w:lang w:val="en-GB"/>
        </w:rPr>
        <w:t>19 (Subsidiaries</w:t>
      </w:r>
      <w:r w:rsidR="002D7AA8">
        <w:rPr>
          <w:lang w:val="en-GB"/>
        </w:rPr>
        <w:t xml:space="preserve"> </w:t>
      </w:r>
      <w:r w:rsidRPr="00194BB3">
        <w:rPr>
          <w:lang w:val="en-GB"/>
        </w:rPr>
        <w:t>Without</w:t>
      </w:r>
      <w:r w:rsidR="002D7AA8">
        <w:rPr>
          <w:lang w:val="en-GB"/>
        </w:rPr>
        <w:t xml:space="preserve"> </w:t>
      </w:r>
      <w:r w:rsidRPr="00194BB3">
        <w:rPr>
          <w:lang w:val="en-GB"/>
        </w:rPr>
        <w:t>Public</w:t>
      </w:r>
      <w:r w:rsidR="002D7AA8">
        <w:rPr>
          <w:lang w:val="en-GB"/>
        </w:rPr>
        <w:t xml:space="preserve"> </w:t>
      </w:r>
      <w:r w:rsidRPr="00194BB3">
        <w:rPr>
          <w:lang w:val="en-GB"/>
        </w:rPr>
        <w:t>Accountability), and amendments to IFRS</w:t>
      </w:r>
      <w:r w:rsidR="002D7AA8">
        <w:rPr>
          <w:lang w:val="en-GB"/>
        </w:rPr>
        <w:t xml:space="preserve"> </w:t>
      </w:r>
      <w:r w:rsidRPr="00194BB3">
        <w:rPr>
          <w:lang w:val="en-GB"/>
        </w:rPr>
        <w:t>9, IFRS</w:t>
      </w:r>
      <w:r w:rsidR="002D7AA8">
        <w:rPr>
          <w:lang w:val="en-GB"/>
        </w:rPr>
        <w:t xml:space="preserve"> </w:t>
      </w:r>
      <w:r w:rsidRPr="00194BB3">
        <w:rPr>
          <w:lang w:val="en-GB"/>
        </w:rPr>
        <w:t>7, and other standards</w:t>
      </w:r>
      <w:r w:rsidR="002D7AA8">
        <w:rPr>
          <w:lang w:val="en-GB"/>
        </w:rPr>
        <w:t>.</w:t>
      </w:r>
    </w:p>
    <w:p w14:paraId="6D395531" w14:textId="2EC44833" w:rsidR="00194BB3" w:rsidRPr="00194BB3" w:rsidRDefault="00194BB3" w:rsidP="00194BB3">
      <w:pPr>
        <w:pStyle w:val="MainBodyText"/>
        <w:numPr>
          <w:ilvl w:val="0"/>
          <w:numId w:val="62"/>
        </w:numPr>
        <w:ind w:right="39"/>
        <w:jc w:val="both"/>
        <w:rPr>
          <w:lang w:val="en-GB"/>
        </w:rPr>
      </w:pPr>
      <w:r w:rsidRPr="00194BB3">
        <w:rPr>
          <w:lang w:val="en-GB"/>
        </w:rPr>
        <w:t>17 ELRs (Extended</w:t>
      </w:r>
      <w:r w:rsidR="002D7AA8">
        <w:rPr>
          <w:lang w:val="en-GB"/>
        </w:rPr>
        <w:t xml:space="preserve"> </w:t>
      </w:r>
      <w:r w:rsidRPr="00194BB3">
        <w:rPr>
          <w:lang w:val="en-GB"/>
        </w:rPr>
        <w:t>Link</w:t>
      </w:r>
      <w:r w:rsidR="002D7AA8">
        <w:rPr>
          <w:lang w:val="en-GB"/>
        </w:rPr>
        <w:t xml:space="preserve"> </w:t>
      </w:r>
      <w:r w:rsidRPr="00194BB3">
        <w:rPr>
          <w:lang w:val="en-GB"/>
        </w:rPr>
        <w:t>Roles) modified; 4 new added</w:t>
      </w:r>
      <w:r w:rsidR="002D7AA8">
        <w:rPr>
          <w:lang w:val="en-GB"/>
        </w:rPr>
        <w:t>;</w:t>
      </w:r>
      <w:r w:rsidRPr="00194BB3">
        <w:rPr>
          <w:lang w:val="en-GB"/>
        </w:rPr>
        <w:t xml:space="preserve"> 2 deprecated</w:t>
      </w:r>
      <w:r w:rsidR="002D7AA8">
        <w:rPr>
          <w:lang w:val="en-GB"/>
        </w:rPr>
        <w:t>.</w:t>
      </w:r>
    </w:p>
    <w:p w14:paraId="742F976F" w14:textId="7EDA159A" w:rsidR="00315456" w:rsidRDefault="00194BB3" w:rsidP="00194BB3">
      <w:pPr>
        <w:pStyle w:val="MainBodyText"/>
        <w:numPr>
          <w:ilvl w:val="0"/>
          <w:numId w:val="62"/>
        </w:numPr>
        <w:ind w:right="39"/>
        <w:jc w:val="both"/>
        <w:rPr>
          <w:lang w:val="en-GB"/>
        </w:rPr>
      </w:pPr>
      <w:r w:rsidRPr="00194BB3">
        <w:rPr>
          <w:lang w:val="en-GB"/>
        </w:rPr>
        <w:t>No updates to IFRS</w:t>
      </w:r>
      <w:r w:rsidR="002D7AA8">
        <w:rPr>
          <w:lang w:val="en-GB"/>
        </w:rPr>
        <w:t xml:space="preserve"> for </w:t>
      </w:r>
      <w:r w:rsidRPr="00194BB3">
        <w:rPr>
          <w:lang w:val="en-GB"/>
        </w:rPr>
        <w:t>SME</w:t>
      </w:r>
      <w:r w:rsidR="002D7AA8">
        <w:rPr>
          <w:lang w:val="en-GB"/>
        </w:rPr>
        <w:t xml:space="preserve"> </w:t>
      </w:r>
      <w:r w:rsidR="00315456">
        <w:rPr>
          <w:lang w:val="en-GB"/>
        </w:rPr>
        <w:t>with resolution not to make any changes in the medium term.</w:t>
      </w:r>
    </w:p>
    <w:p w14:paraId="4B862453" w14:textId="61468025" w:rsidR="00194BB3" w:rsidRDefault="00315456" w:rsidP="00194BB3">
      <w:pPr>
        <w:pStyle w:val="MainBodyText"/>
        <w:numPr>
          <w:ilvl w:val="0"/>
          <w:numId w:val="62"/>
        </w:numPr>
        <w:ind w:right="39"/>
        <w:jc w:val="both"/>
        <w:rPr>
          <w:lang w:val="en-GB"/>
        </w:rPr>
      </w:pPr>
      <w:r>
        <w:rPr>
          <w:lang w:val="en-GB"/>
        </w:rPr>
        <w:t>No updates to</w:t>
      </w:r>
      <w:r w:rsidR="00194BB3" w:rsidRPr="00194BB3">
        <w:rPr>
          <w:lang w:val="en-GB"/>
        </w:rPr>
        <w:t xml:space="preserve"> </w:t>
      </w:r>
      <w:r w:rsidR="002D7AA8">
        <w:rPr>
          <w:lang w:val="en-GB"/>
        </w:rPr>
        <w:t>IFRS S1 and S2 (</w:t>
      </w:r>
      <w:r w:rsidR="00194BB3" w:rsidRPr="00194BB3">
        <w:rPr>
          <w:lang w:val="en-GB"/>
        </w:rPr>
        <w:t>Sustainability</w:t>
      </w:r>
      <w:r w:rsidR="002D7AA8">
        <w:rPr>
          <w:lang w:val="en-GB"/>
        </w:rPr>
        <w:t>)</w:t>
      </w:r>
      <w:r>
        <w:rPr>
          <w:lang w:val="en-GB"/>
        </w:rPr>
        <w:t xml:space="preserve"> for present and the immediate future are expected.</w:t>
      </w:r>
    </w:p>
    <w:p w14:paraId="5E296518" w14:textId="4A390802" w:rsidR="002D7AA8" w:rsidRDefault="002D7AA8" w:rsidP="00194BB3">
      <w:pPr>
        <w:pStyle w:val="MainBodyText"/>
        <w:numPr>
          <w:ilvl w:val="0"/>
          <w:numId w:val="62"/>
        </w:numPr>
        <w:ind w:right="39"/>
        <w:jc w:val="both"/>
        <w:rPr>
          <w:lang w:val="en-GB"/>
        </w:rPr>
      </w:pPr>
      <w:r>
        <w:rPr>
          <w:lang w:val="en-GB"/>
        </w:rPr>
        <w:t xml:space="preserve">No updates to GRAP and Co-Ops modules other </w:t>
      </w:r>
      <w:r w:rsidR="00040B4C">
        <w:rPr>
          <w:lang w:val="en-GB"/>
        </w:rPr>
        <w:t>than</w:t>
      </w:r>
      <w:r>
        <w:rPr>
          <w:lang w:val="en-GB"/>
        </w:rPr>
        <w:t xml:space="preserve"> the ones coming from the IFRS Taxonomy 2025.</w:t>
      </w:r>
    </w:p>
    <w:p w14:paraId="742C50CD" w14:textId="77777777" w:rsidR="00194BB3" w:rsidRPr="00194BB3" w:rsidRDefault="00194BB3" w:rsidP="00194BB3">
      <w:pPr>
        <w:pStyle w:val="MainBodyText"/>
        <w:numPr>
          <w:ilvl w:val="0"/>
          <w:numId w:val="62"/>
        </w:numPr>
        <w:ind w:right="39"/>
        <w:jc w:val="both"/>
        <w:rPr>
          <w:lang w:val="en-GB"/>
        </w:rPr>
      </w:pPr>
      <w:r w:rsidRPr="00194BB3">
        <w:rPr>
          <w:lang w:val="en-GB"/>
        </w:rPr>
        <w:t>No breaking changes in technical architecture; current SSP software stack remains compatible with minimal adjustments</w:t>
      </w:r>
    </w:p>
    <w:p w14:paraId="5A79B6B1" w14:textId="68E77C7B" w:rsidR="00E242D2" w:rsidRPr="00E242D2" w:rsidRDefault="007101B4" w:rsidP="007101B4">
      <w:pPr>
        <w:pStyle w:val="MainBodyText"/>
        <w:ind w:right="39"/>
        <w:jc w:val="both"/>
        <w:rPr>
          <w:lang w:val="en-GB"/>
        </w:rPr>
      </w:pPr>
      <w:r w:rsidRPr="007101B4">
        <w:rPr>
          <w:lang w:val="en-GB"/>
        </w:rPr>
        <w:t>The Gap</w:t>
      </w:r>
      <w:r>
        <w:rPr>
          <w:lang w:val="en-GB"/>
        </w:rPr>
        <w:t xml:space="preserve"> A</w:t>
      </w:r>
      <w:r w:rsidRPr="007101B4">
        <w:rPr>
          <w:lang w:val="en-GB"/>
        </w:rPr>
        <w:t>nalysis confirms that updates introduced in the IFRS XBRL Taxonomy 2025</w:t>
      </w:r>
      <w:r>
        <w:rPr>
          <w:lang w:val="en-GB"/>
        </w:rPr>
        <w:t xml:space="preserve"> </w:t>
      </w:r>
      <w:r w:rsidRPr="007101B4">
        <w:rPr>
          <w:lang w:val="en-GB"/>
        </w:rPr>
        <w:t>have a moderate impact on the CIPC XBRL Taxonomy. The scope of analysis was strictly limited to changes as per the versioning report for the Early Application of IFRS 18. While the taxonomy package includes notable updates in terms of content (184 additional elements and multiple ELR changes), no critical technical changes were identified. The IFRS SME and Sustainability modules were not included, as they are to be published separately.</w:t>
      </w:r>
    </w:p>
    <w:bookmarkEnd w:id="3"/>
    <w:p w14:paraId="7192B96C" w14:textId="2B932383" w:rsidR="002112F9" w:rsidRPr="00E242D2" w:rsidRDefault="002112F9">
      <w:pPr>
        <w:rPr>
          <w:rFonts w:ascii="Open Sans SemiBold" w:hAnsi="Open Sans SemiBold" w:cs="Open Sans SemiBold"/>
          <w:bCs/>
          <w:color w:val="3369A9"/>
          <w:sz w:val="26"/>
          <w:szCs w:val="26"/>
        </w:rPr>
      </w:pPr>
      <w:r w:rsidRPr="00E242D2">
        <w:br w:type="page"/>
      </w:r>
    </w:p>
    <w:p w14:paraId="5E0AD625" w14:textId="77777777" w:rsidR="0033474D" w:rsidRPr="00E242D2" w:rsidRDefault="0033474D" w:rsidP="00961D4A">
      <w:pPr>
        <w:pStyle w:val="MainTitel"/>
        <w:rPr>
          <w:lang w:val="en-GB"/>
        </w:rPr>
      </w:pPr>
      <w:bookmarkStart w:id="6" w:name="_Toc38443985"/>
      <w:bookmarkStart w:id="7" w:name="_Toc195789344"/>
      <w:bookmarkStart w:id="8" w:name="_Toc508876753"/>
      <w:r w:rsidRPr="00E242D2">
        <w:rPr>
          <w:lang w:val="en-GB"/>
        </w:rPr>
        <w:lastRenderedPageBreak/>
        <w:t>Context of the project</w:t>
      </w:r>
      <w:bookmarkEnd w:id="6"/>
      <w:bookmarkEnd w:id="7"/>
    </w:p>
    <w:p w14:paraId="60C62A06" w14:textId="77777777" w:rsidR="0033474D" w:rsidRPr="00E242D2" w:rsidRDefault="0033474D" w:rsidP="0033474D">
      <w:pPr>
        <w:pStyle w:val="MainBodyText"/>
        <w:ind w:right="129"/>
        <w:jc w:val="both"/>
        <w:rPr>
          <w:lang w:val="en-GB"/>
        </w:rPr>
      </w:pPr>
      <w:r w:rsidRPr="00E242D2">
        <w:rPr>
          <w:lang w:val="en-GB"/>
        </w:rPr>
        <w:t xml:space="preserve">In early 2016, the CIPC has launched an official programme for the electronic exchange of standardized financial reporting information in South Africa. The programme included, among others, design, development and implementation of an XBRL reporting platform to be utilized by client companies as a mechanism for submission of annual financial statements through XBRL. </w:t>
      </w:r>
    </w:p>
    <w:p w14:paraId="2D470731" w14:textId="77777777" w:rsidR="0033474D" w:rsidRPr="00E242D2" w:rsidRDefault="0033474D" w:rsidP="0033474D">
      <w:pPr>
        <w:pStyle w:val="MainBodyText"/>
        <w:ind w:right="129"/>
        <w:jc w:val="both"/>
        <w:rPr>
          <w:lang w:val="en-GB"/>
        </w:rPr>
      </w:pPr>
      <w:r w:rsidRPr="00E242D2">
        <w:rPr>
          <w:lang w:val="en-GB"/>
        </w:rPr>
        <w:t xml:space="preserve">As a first step towards successful implementation of the XBRL standard, the CIPC has developed and published the annual CIPC taxonomy and the corresponding data model based on the resources made available by the IASB, namely the IFRS taxonomy 2016. Prior to the publication of the taxonomy project deliverables, both the data model and the taxonomy were subject to open consultation with the relevant stakeholders in South Africa. Feedback received during the consultation stage was evaluated and incorporated in the produced outputs, ensuring their quality and compliance with the applicable standards. </w:t>
      </w:r>
    </w:p>
    <w:p w14:paraId="18EBA291" w14:textId="190790FF" w:rsidR="0033474D" w:rsidRPr="00E242D2" w:rsidRDefault="0033474D" w:rsidP="0033474D">
      <w:pPr>
        <w:pStyle w:val="MainBodyText"/>
        <w:ind w:right="129"/>
        <w:jc w:val="both"/>
        <w:rPr>
          <w:lang w:val="en-GB"/>
        </w:rPr>
      </w:pPr>
      <w:r w:rsidRPr="00E242D2">
        <w:rPr>
          <w:lang w:val="en-GB"/>
        </w:rPr>
        <w:t xml:space="preserve">In the following year, the CIPC appointed a software service provider to design, develop and implement the XBRL reporting platform which was successfully delivered in late 2017. </w:t>
      </w:r>
      <w:proofErr w:type="gramStart"/>
      <w:r w:rsidRPr="00E242D2">
        <w:rPr>
          <w:lang w:val="en-GB"/>
        </w:rPr>
        <w:t>In order to</w:t>
      </w:r>
      <w:proofErr w:type="gramEnd"/>
      <w:r w:rsidRPr="00E242D2">
        <w:rPr>
          <w:lang w:val="en-GB"/>
        </w:rPr>
        <w:t xml:space="preserve"> test the functionality of both the CIPC’s upload-portal as well as the client-side software used by selected companies, in February 2018 the CIPC initiated the XBRL pilot phase. After a four-months evaluation period, the pilot proved conclusively that the CIPC had a well-developed capability to receive AFS data via </w:t>
      </w:r>
      <w:r w:rsidR="72125A16" w:rsidRPr="00E242D2">
        <w:rPr>
          <w:lang w:val="en-GB"/>
        </w:rPr>
        <w:t>the</w:t>
      </w:r>
      <w:r w:rsidRPr="00E242D2">
        <w:rPr>
          <w:lang w:val="en-GB"/>
        </w:rPr>
        <w:t xml:space="preserve"> </w:t>
      </w:r>
      <w:proofErr w:type="spellStart"/>
      <w:r w:rsidRPr="00E242D2">
        <w:rPr>
          <w:lang w:val="en-GB"/>
        </w:rPr>
        <w:t>iXBRL</w:t>
      </w:r>
      <w:proofErr w:type="spellEnd"/>
      <w:r w:rsidRPr="00E242D2">
        <w:rPr>
          <w:lang w:val="en-GB"/>
        </w:rPr>
        <w:t xml:space="preserve"> standard, and that the client-side software needed by companies to produce their outputs was fully compliant with the requirements of the CIPC. The XBRL platform was officially deployed on 1 July 2018. </w:t>
      </w:r>
    </w:p>
    <w:p w14:paraId="22C85E42" w14:textId="77777777" w:rsidR="0033474D" w:rsidRPr="00E242D2" w:rsidRDefault="0033474D" w:rsidP="0033474D">
      <w:pPr>
        <w:pStyle w:val="MainBodyText"/>
        <w:ind w:right="129"/>
        <w:jc w:val="both"/>
        <w:rPr>
          <w:lang w:val="en-GB"/>
        </w:rPr>
      </w:pPr>
      <w:r w:rsidRPr="00E242D2">
        <w:rPr>
          <w:lang w:val="en-GB"/>
        </w:rPr>
        <w:t xml:space="preserve">The Companies Act and its Regulations mandates CIPC to monitor the patterns of compliance with the Companies Act as well as compliance with International Financial Reporting Standards and related standards. </w:t>
      </w:r>
    </w:p>
    <w:p w14:paraId="7BD4CBAF" w14:textId="6DD18C17" w:rsidR="0033474D" w:rsidRPr="00E242D2" w:rsidRDefault="0033474D" w:rsidP="0033474D">
      <w:pPr>
        <w:pStyle w:val="MainBodyText"/>
        <w:ind w:right="129"/>
        <w:jc w:val="both"/>
        <w:rPr>
          <w:lang w:val="en-GB"/>
        </w:rPr>
      </w:pPr>
      <w:r w:rsidRPr="00E242D2">
        <w:rPr>
          <w:lang w:val="en-GB"/>
        </w:rPr>
        <w:t>As part of the mandate imposed on the CIPC by the Companies Act and its Regulations, The Commission is required to monitor the compliance with the Act, as well as compliance with International Financial Reporting Standards and related standards. To achieve its mandate, CIPC needs to regularly update its XBRL taxonomies to ensure companies subject to reporting to the CIPC are using the most up to date, relevant and approved for use standards. Starting from 2018, The CIPC commenced yearly gap analysis activities to assess the possibilities of updating the CIPC taxonomy in terms of information scope covered by existing taxonomy structures, as well as its compliance with the latest IFRS standards as published by the IASB and other standards that are applicable in South Africa and are required to fulfil the obligations of the Companies Act by the companies (e.g. Generally Recognised Accounting Practice</w:t>
      </w:r>
      <w:r w:rsidR="0054671E" w:rsidRPr="00E242D2">
        <w:rPr>
          <w:lang w:val="en-GB"/>
        </w:rPr>
        <w:t xml:space="preserve">; </w:t>
      </w:r>
      <w:r w:rsidR="00066EE6" w:rsidRPr="00E242D2">
        <w:rPr>
          <w:lang w:val="en-GB"/>
        </w:rPr>
        <w:t>Co-operatives Act</w:t>
      </w:r>
      <w:r w:rsidRPr="00E242D2">
        <w:rPr>
          <w:lang w:val="en-GB"/>
        </w:rPr>
        <w:t xml:space="preserve">). </w:t>
      </w:r>
    </w:p>
    <w:p w14:paraId="2D97043E" w14:textId="5E37A740" w:rsidR="0033474D" w:rsidRPr="00E242D2" w:rsidRDefault="0033474D" w:rsidP="0033474D">
      <w:pPr>
        <w:pStyle w:val="MainBodyText"/>
        <w:ind w:right="129"/>
        <w:jc w:val="both"/>
        <w:rPr>
          <w:lang w:val="en-GB"/>
        </w:rPr>
      </w:pPr>
      <w:r w:rsidRPr="00E242D2">
        <w:rPr>
          <w:lang w:val="en-GB"/>
        </w:rPr>
        <w:t xml:space="preserve">The gap analysis conducted by the CIPC is subject to review and discussions </w:t>
      </w:r>
      <w:r w:rsidR="006725BF" w:rsidRPr="00E242D2">
        <w:rPr>
          <w:lang w:val="en-GB"/>
        </w:rPr>
        <w:t>by</w:t>
      </w:r>
      <w:r w:rsidRPr="00E242D2">
        <w:rPr>
          <w:lang w:val="en-GB"/>
        </w:rPr>
        <w:t xml:space="preserve"> </w:t>
      </w:r>
      <w:r w:rsidR="00B02B5F" w:rsidRPr="00E242D2">
        <w:rPr>
          <w:lang w:val="en-GB"/>
        </w:rPr>
        <w:t xml:space="preserve">the </w:t>
      </w:r>
      <w:r w:rsidRPr="00E242D2">
        <w:rPr>
          <w:lang w:val="en-GB"/>
        </w:rPr>
        <w:t xml:space="preserve">professional bodies in South Africa, as well as market participants who are directly or indirectly affected by the XBRL mandate, to ensure high quality and relevance of the proposed updates to the CIPC taxonomy. </w:t>
      </w:r>
    </w:p>
    <w:p w14:paraId="19F2DA5C" w14:textId="49CD321D" w:rsidR="0033474D" w:rsidRPr="00E242D2" w:rsidRDefault="0033474D">
      <w:pPr>
        <w:rPr>
          <w:rFonts w:ascii="Open Sans SemiBold" w:hAnsi="Open Sans SemiBold" w:cs="Open Sans SemiBold"/>
          <w:bCs/>
          <w:color w:val="3369A9"/>
          <w:sz w:val="26"/>
          <w:szCs w:val="26"/>
        </w:rPr>
      </w:pPr>
      <w:r w:rsidRPr="00E242D2">
        <w:rPr>
          <w:rFonts w:ascii="Open Sans SemiBold" w:hAnsi="Open Sans SemiBold" w:cs="Open Sans SemiBold"/>
          <w:bCs/>
          <w:color w:val="3369A9"/>
          <w:sz w:val="26"/>
          <w:szCs w:val="26"/>
        </w:rPr>
        <w:br w:type="page"/>
      </w:r>
    </w:p>
    <w:p w14:paraId="2F982434" w14:textId="0593A524" w:rsidR="00D93E5B" w:rsidRPr="00E242D2" w:rsidRDefault="002C6F4C" w:rsidP="00961D4A">
      <w:pPr>
        <w:pStyle w:val="MainTitel"/>
        <w:rPr>
          <w:lang w:val="en-GB"/>
        </w:rPr>
      </w:pPr>
      <w:bookmarkStart w:id="9" w:name="_Toc195789345"/>
      <w:r w:rsidRPr="00E242D2">
        <w:rPr>
          <w:lang w:val="en-GB"/>
        </w:rPr>
        <w:lastRenderedPageBreak/>
        <w:t>Gap analysis</w:t>
      </w:r>
      <w:r w:rsidR="00A63B6A" w:rsidRPr="00E242D2">
        <w:rPr>
          <w:lang w:val="en-GB"/>
        </w:rPr>
        <w:t>:</w:t>
      </w:r>
      <w:r w:rsidRPr="00E242D2">
        <w:rPr>
          <w:lang w:val="en-GB"/>
        </w:rPr>
        <w:t xml:space="preserve"> I</w:t>
      </w:r>
      <w:r w:rsidR="00D93E5B" w:rsidRPr="00E242D2">
        <w:rPr>
          <w:lang w:val="en-GB"/>
        </w:rPr>
        <w:t xml:space="preserve">FRS </w:t>
      </w:r>
      <w:r w:rsidR="008878E4" w:rsidRPr="00E242D2">
        <w:rPr>
          <w:lang w:val="en-GB"/>
        </w:rPr>
        <w:t>A</w:t>
      </w:r>
      <w:r w:rsidR="00E92D5B" w:rsidRPr="00E242D2">
        <w:rPr>
          <w:lang w:val="en-GB"/>
        </w:rPr>
        <w:t xml:space="preserve">ccounting </w:t>
      </w:r>
      <w:r w:rsidR="008878E4" w:rsidRPr="00E242D2">
        <w:rPr>
          <w:lang w:val="en-GB"/>
        </w:rPr>
        <w:t>T</w:t>
      </w:r>
      <w:r w:rsidR="00D93E5B" w:rsidRPr="00E242D2">
        <w:rPr>
          <w:lang w:val="en-GB"/>
        </w:rPr>
        <w:t>axonomy</w:t>
      </w:r>
      <w:bookmarkEnd w:id="8"/>
      <w:r w:rsidRPr="00E242D2">
        <w:rPr>
          <w:lang w:val="en-GB"/>
        </w:rPr>
        <w:t xml:space="preserve"> </w:t>
      </w:r>
      <w:r w:rsidR="005B3339" w:rsidRPr="00E242D2">
        <w:rPr>
          <w:lang w:val="en-GB"/>
        </w:rPr>
        <w:t>202</w:t>
      </w:r>
      <w:r w:rsidR="002447D3" w:rsidRPr="00E242D2">
        <w:rPr>
          <w:lang w:val="en-GB"/>
        </w:rPr>
        <w:t>5</w:t>
      </w:r>
      <w:bookmarkEnd w:id="9"/>
    </w:p>
    <w:p w14:paraId="50F136B2" w14:textId="6E7BBB2A" w:rsidR="002C6F4C" w:rsidRPr="00E242D2" w:rsidRDefault="002C6F4C" w:rsidP="002C6F4C">
      <w:pPr>
        <w:pStyle w:val="Heading2"/>
        <w:rPr>
          <w:lang w:val="en-GB"/>
        </w:rPr>
      </w:pPr>
      <w:bookmarkStart w:id="10" w:name="_Toc195789346"/>
      <w:r w:rsidRPr="00E242D2">
        <w:rPr>
          <w:lang w:val="en-GB"/>
        </w:rPr>
        <w:t>Scope of analysis</w:t>
      </w:r>
      <w:bookmarkEnd w:id="10"/>
    </w:p>
    <w:p w14:paraId="7AB1BDF9" w14:textId="37F763BE" w:rsidR="00D93E5B" w:rsidRPr="00E242D2" w:rsidRDefault="00D93E5B" w:rsidP="002C6F4C">
      <w:pPr>
        <w:pStyle w:val="MainBodyText"/>
        <w:ind w:right="129"/>
        <w:jc w:val="both"/>
        <w:rPr>
          <w:lang w:val="en-GB"/>
        </w:rPr>
      </w:pPr>
      <w:r w:rsidRPr="00E242D2">
        <w:rPr>
          <w:lang w:val="en-GB"/>
        </w:rPr>
        <w:t xml:space="preserve">For the purposes of this gap analysis, the CIPC XBRL Taxonomy </w:t>
      </w:r>
      <w:r w:rsidR="00F14DB2" w:rsidRPr="00E242D2">
        <w:rPr>
          <w:lang w:val="en-GB"/>
        </w:rPr>
        <w:t>202</w:t>
      </w:r>
      <w:r w:rsidR="002447D3" w:rsidRPr="00E242D2">
        <w:rPr>
          <w:lang w:val="en-GB"/>
        </w:rPr>
        <w:t>4</w:t>
      </w:r>
      <w:r w:rsidR="00F14DB2" w:rsidRPr="00E242D2">
        <w:rPr>
          <w:lang w:val="en-GB"/>
        </w:rPr>
        <w:t xml:space="preserve"> </w:t>
      </w:r>
      <w:r w:rsidRPr="00E242D2">
        <w:rPr>
          <w:lang w:val="en-GB"/>
        </w:rPr>
        <w:t xml:space="preserve">was compared with the IFRS XBRL Taxonomy </w:t>
      </w:r>
      <w:r w:rsidR="00F14DB2" w:rsidRPr="00E242D2">
        <w:rPr>
          <w:lang w:val="en-GB"/>
        </w:rPr>
        <w:t>202</w:t>
      </w:r>
      <w:r w:rsidR="002447D3" w:rsidRPr="00E242D2">
        <w:rPr>
          <w:lang w:val="en-GB"/>
        </w:rPr>
        <w:t>5</w:t>
      </w:r>
      <w:r w:rsidRPr="00E242D2">
        <w:rPr>
          <w:lang w:val="en-GB"/>
        </w:rPr>
        <w:t xml:space="preserve">, as published by the IFRS Foundation on </w:t>
      </w:r>
      <w:r w:rsidR="00A73043" w:rsidRPr="00E242D2">
        <w:rPr>
          <w:lang w:val="en-GB"/>
        </w:rPr>
        <w:t>2</w:t>
      </w:r>
      <w:r w:rsidR="002447D3" w:rsidRPr="00E242D2">
        <w:rPr>
          <w:lang w:val="en-GB"/>
        </w:rPr>
        <w:t>7</w:t>
      </w:r>
      <w:r w:rsidR="004D17F8" w:rsidRPr="00E242D2">
        <w:rPr>
          <w:lang w:val="en-GB"/>
        </w:rPr>
        <w:t xml:space="preserve"> </w:t>
      </w:r>
      <w:r w:rsidRPr="00E242D2">
        <w:rPr>
          <w:lang w:val="en-GB"/>
        </w:rPr>
        <w:t xml:space="preserve">March </w:t>
      </w:r>
      <w:r w:rsidR="004D17F8" w:rsidRPr="00E242D2">
        <w:rPr>
          <w:lang w:val="en-GB"/>
        </w:rPr>
        <w:t>20</w:t>
      </w:r>
      <w:r w:rsidR="009C67B8" w:rsidRPr="00E242D2">
        <w:rPr>
          <w:lang w:val="en-GB"/>
        </w:rPr>
        <w:t>2</w:t>
      </w:r>
      <w:r w:rsidR="002447D3" w:rsidRPr="00E242D2">
        <w:rPr>
          <w:lang w:val="en-GB"/>
        </w:rPr>
        <w:t>5</w:t>
      </w:r>
      <w:r w:rsidR="0033474D" w:rsidRPr="00E242D2">
        <w:rPr>
          <w:rStyle w:val="FootnoteReference"/>
          <w:lang w:val="en-GB"/>
        </w:rPr>
        <w:footnoteReference w:id="2"/>
      </w:r>
      <w:r w:rsidRPr="00E242D2">
        <w:rPr>
          <w:lang w:val="en-GB"/>
        </w:rPr>
        <w:t>.</w:t>
      </w:r>
    </w:p>
    <w:p w14:paraId="0A8328C5" w14:textId="77777777" w:rsidR="005A1969" w:rsidRPr="00E242D2" w:rsidRDefault="005A1969" w:rsidP="005A1969">
      <w:pPr>
        <w:pStyle w:val="MainBodyText"/>
        <w:spacing w:after="240"/>
        <w:ind w:right="132"/>
        <w:jc w:val="both"/>
        <w:rPr>
          <w:lang w:val="en-GB"/>
        </w:rPr>
      </w:pPr>
      <w:r w:rsidRPr="00E242D2">
        <w:rPr>
          <w:lang w:val="en-GB"/>
        </w:rPr>
        <w:t xml:space="preserve">The IFRS Accounting Taxonomy 2025 includes two entry points reflecting mandatory </w:t>
      </w:r>
      <w:r w:rsidRPr="00E242D2">
        <w:rPr>
          <w:i/>
          <w:iCs/>
          <w:lang w:val="en-GB"/>
        </w:rPr>
        <w:t>Full IFRS Accounting Standards Entry Poin</w:t>
      </w:r>
      <w:r w:rsidRPr="00E242D2">
        <w:rPr>
          <w:lang w:val="en-GB"/>
        </w:rPr>
        <w:t xml:space="preserve">t and </w:t>
      </w:r>
      <w:r w:rsidRPr="00E242D2">
        <w:rPr>
          <w:i/>
          <w:iCs/>
          <w:lang w:val="en-GB"/>
        </w:rPr>
        <w:t>Early Application of IFRS 18 Entry Point.</w:t>
      </w:r>
      <w:r w:rsidRPr="00E242D2">
        <w:rPr>
          <w:lang w:val="en-GB"/>
        </w:rPr>
        <w:t xml:space="preserve"> Following the decision made by the CIPC, the applicable entry point option for reporting in South Africa set out by the CIPC Taxonomy 2025 is the </w:t>
      </w:r>
      <w:r w:rsidRPr="00E242D2">
        <w:rPr>
          <w:i/>
          <w:iCs/>
          <w:lang w:val="en-GB"/>
        </w:rPr>
        <w:t>Early Application of IFRS 18 Entry Point</w:t>
      </w:r>
      <w:r w:rsidRPr="00E242D2">
        <w:rPr>
          <w:lang w:val="en-GB"/>
        </w:rPr>
        <w:t>, which is the option followed in the Gap Analysis and will be incorporated properly into the CIPC Taxonomy architecture.</w:t>
      </w:r>
    </w:p>
    <w:p w14:paraId="0FD1F20F" w14:textId="06A01041" w:rsidR="00D93E5B" w:rsidRPr="00E242D2" w:rsidRDefault="00D93E5B" w:rsidP="002C6F4C">
      <w:pPr>
        <w:pStyle w:val="MainBodyText"/>
        <w:ind w:right="129"/>
        <w:jc w:val="both"/>
        <w:rPr>
          <w:lang w:val="en-GB"/>
        </w:rPr>
      </w:pPr>
      <w:r w:rsidRPr="00E242D2">
        <w:rPr>
          <w:lang w:val="en-GB"/>
        </w:rPr>
        <w:t xml:space="preserve">The </w:t>
      </w:r>
      <w:r w:rsidR="005A1969" w:rsidRPr="00E242D2">
        <w:rPr>
          <w:lang w:val="en-GB"/>
        </w:rPr>
        <w:t xml:space="preserve">early application of IFRS 18 </w:t>
      </w:r>
      <w:r w:rsidRPr="00E242D2">
        <w:rPr>
          <w:lang w:val="en-GB"/>
        </w:rPr>
        <w:t>versioning report</w:t>
      </w:r>
      <w:r w:rsidR="009B0C54" w:rsidRPr="00E242D2">
        <w:rPr>
          <w:lang w:val="en-GB"/>
        </w:rPr>
        <w:t>,</w:t>
      </w:r>
      <w:r w:rsidRPr="00E242D2">
        <w:rPr>
          <w:lang w:val="en-GB"/>
        </w:rPr>
        <w:t xml:space="preserve"> published by the IFRS Foundation with the release of the IFRS Taxonomy </w:t>
      </w:r>
      <w:r w:rsidR="00F14DB2" w:rsidRPr="00E242D2">
        <w:rPr>
          <w:lang w:val="en-GB"/>
        </w:rPr>
        <w:t>202</w:t>
      </w:r>
      <w:r w:rsidR="002447D3" w:rsidRPr="00E242D2">
        <w:rPr>
          <w:lang w:val="en-GB"/>
        </w:rPr>
        <w:t>5</w:t>
      </w:r>
      <w:r w:rsidR="009B0C54" w:rsidRPr="00E242D2">
        <w:rPr>
          <w:lang w:val="en-GB"/>
        </w:rPr>
        <w:t>,</w:t>
      </w:r>
      <w:r w:rsidR="002F2159" w:rsidRPr="00E242D2">
        <w:rPr>
          <w:lang w:val="en-GB"/>
        </w:rPr>
        <w:t xml:space="preserve"> </w:t>
      </w:r>
      <w:r w:rsidRPr="00E242D2">
        <w:rPr>
          <w:lang w:val="en-GB"/>
        </w:rPr>
        <w:t xml:space="preserve">was used as a basis for identification of all changes applied in the IFRS </w:t>
      </w:r>
      <w:r w:rsidR="000D18EC" w:rsidRPr="00E242D2">
        <w:rPr>
          <w:lang w:val="en-GB"/>
        </w:rPr>
        <w:t>T</w:t>
      </w:r>
      <w:r w:rsidRPr="00E242D2">
        <w:rPr>
          <w:lang w:val="en-GB"/>
        </w:rPr>
        <w:t xml:space="preserve">axonomy as compared to its previous </w:t>
      </w:r>
      <w:r w:rsidR="00F14DB2" w:rsidRPr="00E242D2">
        <w:rPr>
          <w:lang w:val="en-GB"/>
        </w:rPr>
        <w:t>202</w:t>
      </w:r>
      <w:r w:rsidR="00684543" w:rsidRPr="00E242D2">
        <w:rPr>
          <w:lang w:val="en-GB"/>
        </w:rPr>
        <w:t>4</w:t>
      </w:r>
      <w:r w:rsidR="00F14DB2" w:rsidRPr="00E242D2">
        <w:rPr>
          <w:lang w:val="en-GB"/>
        </w:rPr>
        <w:t xml:space="preserve"> </w:t>
      </w:r>
      <w:r w:rsidRPr="00E242D2">
        <w:rPr>
          <w:lang w:val="en-GB"/>
        </w:rPr>
        <w:t>release. Moreover, as CIPC is following the XBRL SA Standard Architecture and Governance Framework, technical aspects (e.g. taxonomy architecture; modularization in files) were not investigated, and the comparison was made only on the information requirements’ level.</w:t>
      </w:r>
    </w:p>
    <w:p w14:paraId="043FD73C" w14:textId="723C7FEE" w:rsidR="00D93E5B" w:rsidRPr="00E242D2" w:rsidRDefault="00D93E5B" w:rsidP="002C6F4C">
      <w:pPr>
        <w:pStyle w:val="MainBodyText"/>
        <w:ind w:right="129"/>
        <w:jc w:val="both"/>
        <w:rPr>
          <w:lang w:val="en-GB"/>
        </w:rPr>
      </w:pPr>
      <w:r w:rsidRPr="00E242D2">
        <w:rPr>
          <w:lang w:val="en-GB"/>
        </w:rPr>
        <w:t xml:space="preserve">The sections below present the outcomes of the analysis, </w:t>
      </w:r>
      <w:proofErr w:type="gramStart"/>
      <w:r w:rsidRPr="00E242D2">
        <w:rPr>
          <w:lang w:val="en-GB"/>
        </w:rPr>
        <w:t>in particular</w:t>
      </w:r>
      <w:proofErr w:type="gramEnd"/>
      <w:r w:rsidRPr="00E242D2">
        <w:rPr>
          <w:lang w:val="en-GB"/>
        </w:rPr>
        <w:t xml:space="preserve"> the list of all changes made between the last two IFRS </w:t>
      </w:r>
      <w:r w:rsidR="007B63E3" w:rsidRPr="00E242D2">
        <w:rPr>
          <w:lang w:val="en-GB"/>
        </w:rPr>
        <w:t>T</w:t>
      </w:r>
      <w:r w:rsidRPr="00E242D2">
        <w:rPr>
          <w:lang w:val="en-GB"/>
        </w:rPr>
        <w:t>axonomy annual releases in the context of CIPC.</w:t>
      </w:r>
    </w:p>
    <w:p w14:paraId="539D8622" w14:textId="77777777" w:rsidR="00D93E5B" w:rsidRPr="00E242D2" w:rsidRDefault="00D93E5B" w:rsidP="002C6F4C">
      <w:pPr>
        <w:pStyle w:val="Secondtitle"/>
        <w:ind w:left="0"/>
        <w:jc w:val="both"/>
        <w:rPr>
          <w:highlight w:val="yellow"/>
          <w:lang w:val="en-GB"/>
        </w:rPr>
      </w:pPr>
    </w:p>
    <w:p w14:paraId="5D2FB23F" w14:textId="58F6C86E" w:rsidR="007C1D67" w:rsidRPr="00E242D2" w:rsidRDefault="009772B5" w:rsidP="002C6F4C">
      <w:pPr>
        <w:pStyle w:val="Heading2"/>
        <w:jc w:val="both"/>
        <w:rPr>
          <w:lang w:val="en-GB"/>
        </w:rPr>
      </w:pPr>
      <w:bookmarkStart w:id="11" w:name="_Toc195789347"/>
      <w:r w:rsidRPr="00E242D2">
        <w:rPr>
          <w:lang w:val="en-GB"/>
        </w:rPr>
        <w:t>Summary of observations</w:t>
      </w:r>
      <w:bookmarkEnd w:id="11"/>
    </w:p>
    <w:p w14:paraId="7E410C20" w14:textId="2A14DCC8" w:rsidR="00F74109" w:rsidRPr="00E242D2" w:rsidRDefault="00F74109" w:rsidP="008B650B">
      <w:pPr>
        <w:pStyle w:val="MainBodyText"/>
        <w:spacing w:after="240"/>
        <w:ind w:right="132"/>
        <w:jc w:val="both"/>
        <w:rPr>
          <w:lang w:val="en-GB"/>
        </w:rPr>
      </w:pPr>
      <w:r w:rsidRPr="00E242D2">
        <w:rPr>
          <w:lang w:val="en-GB"/>
        </w:rPr>
        <w:t>The IASB published the IFRS Accounting Taxonomy on 27</w:t>
      </w:r>
      <w:r w:rsidRPr="00E242D2">
        <w:rPr>
          <w:vertAlign w:val="superscript"/>
          <w:lang w:val="en-GB"/>
        </w:rPr>
        <w:t>th</w:t>
      </w:r>
      <w:r w:rsidRPr="00E242D2">
        <w:rPr>
          <w:lang w:val="en-GB"/>
        </w:rPr>
        <w:t xml:space="preserve"> March 2025. </w:t>
      </w:r>
      <w:r w:rsidR="007C5381" w:rsidRPr="00E242D2">
        <w:rPr>
          <w:lang w:val="en-GB"/>
        </w:rPr>
        <w:t xml:space="preserve">With current release the modularisation of files has undergone </w:t>
      </w:r>
      <w:r w:rsidR="000B3608" w:rsidRPr="00E242D2">
        <w:rPr>
          <w:lang w:val="en-GB"/>
        </w:rPr>
        <w:t xml:space="preserve">significant </w:t>
      </w:r>
      <w:r w:rsidR="007C5381" w:rsidRPr="00E242D2">
        <w:rPr>
          <w:lang w:val="en-GB"/>
        </w:rPr>
        <w:t>changes nonetheless having no impact on the CIPC Taxonomy modularisation</w:t>
      </w:r>
      <w:r w:rsidR="000B3608" w:rsidRPr="00E242D2">
        <w:rPr>
          <w:lang w:val="en-GB"/>
        </w:rPr>
        <w:t xml:space="preserve"> of files</w:t>
      </w:r>
      <w:r w:rsidR="007C5381" w:rsidRPr="00E242D2">
        <w:rPr>
          <w:lang w:val="en-GB"/>
        </w:rPr>
        <w:t xml:space="preserve">. </w:t>
      </w:r>
    </w:p>
    <w:p w14:paraId="773FA7EE" w14:textId="1975B06C" w:rsidR="007C5381" w:rsidRPr="00E242D2" w:rsidRDefault="007C5381" w:rsidP="008B650B">
      <w:pPr>
        <w:pStyle w:val="MainBodyText"/>
        <w:spacing w:after="240"/>
        <w:ind w:right="132"/>
        <w:jc w:val="both"/>
        <w:rPr>
          <w:lang w:val="en-GB"/>
        </w:rPr>
      </w:pPr>
      <w:r w:rsidRPr="00E242D2">
        <w:rPr>
          <w:lang w:val="en-GB"/>
        </w:rPr>
        <w:t xml:space="preserve">The IASB have also decided to publish each of the IFRS FULL and IFRS SME modules as a </w:t>
      </w:r>
      <w:proofErr w:type="gramStart"/>
      <w:r w:rsidRPr="00E242D2">
        <w:rPr>
          <w:lang w:val="en-GB"/>
        </w:rPr>
        <w:t>separate taxonomy packages</w:t>
      </w:r>
      <w:proofErr w:type="gramEnd"/>
      <w:r w:rsidRPr="00E242D2">
        <w:rPr>
          <w:lang w:val="en-GB"/>
        </w:rPr>
        <w:t xml:space="preserve"> having its own publication date.</w:t>
      </w:r>
      <w:r w:rsidR="000A4D90" w:rsidRPr="00E242D2">
        <w:rPr>
          <w:lang w:val="en-GB"/>
        </w:rPr>
        <w:t xml:space="preserve"> To this date only the IFRS FULL module has been made publicly available and is considered in this analysis.</w:t>
      </w:r>
    </w:p>
    <w:p w14:paraId="093EE2E9" w14:textId="053FA5ED" w:rsidR="00FE6AEC" w:rsidRPr="00E242D2" w:rsidRDefault="008530EF" w:rsidP="008B650B">
      <w:pPr>
        <w:pStyle w:val="MainBodyText"/>
        <w:spacing w:after="240"/>
        <w:ind w:right="132"/>
        <w:jc w:val="both"/>
        <w:rPr>
          <w:lang w:val="en-GB"/>
        </w:rPr>
      </w:pPr>
      <w:r w:rsidRPr="00E242D2">
        <w:rPr>
          <w:lang w:val="en-GB"/>
        </w:rPr>
        <w:t>The updates reflecting new or amended presentation and disclosure requirements</w:t>
      </w:r>
      <w:r w:rsidR="009B0C54" w:rsidRPr="00E242D2">
        <w:rPr>
          <w:lang w:val="en-GB"/>
        </w:rPr>
        <w:t>, applicable to the IFRS FULL module,</w:t>
      </w:r>
      <w:r w:rsidRPr="00E242D2">
        <w:rPr>
          <w:lang w:val="en-GB"/>
        </w:rPr>
        <w:t xml:space="preserve"> came from </w:t>
      </w:r>
      <w:r w:rsidR="001C1C8B" w:rsidRPr="00E242D2">
        <w:rPr>
          <w:lang w:val="en-GB"/>
        </w:rPr>
        <w:t>the below</w:t>
      </w:r>
      <w:r w:rsidRPr="00E242D2">
        <w:rPr>
          <w:lang w:val="en-GB"/>
        </w:rPr>
        <w:t xml:space="preserve"> amendments</w:t>
      </w:r>
      <w:r w:rsidR="00B737C0" w:rsidRPr="00E242D2">
        <w:rPr>
          <w:lang w:val="en-GB"/>
        </w:rPr>
        <w:t xml:space="preserve">, in particular: </w:t>
      </w:r>
    </w:p>
    <w:p w14:paraId="1E7E0B09" w14:textId="67DCAE3E" w:rsidR="008B650B" w:rsidRPr="00E242D2" w:rsidRDefault="008B650B" w:rsidP="00FE6AEC">
      <w:pPr>
        <w:pStyle w:val="Bulletlevel1"/>
        <w:numPr>
          <w:ilvl w:val="0"/>
          <w:numId w:val="60"/>
        </w:numPr>
        <w:ind w:right="132"/>
        <w:jc w:val="both"/>
      </w:pPr>
      <w:r w:rsidRPr="00E242D2">
        <w:t>IFRS 18 Presentation and Disclosure in Financial Statements – sets out overall requirements for the presentation and disclosure in financial statements, introducing new presentation and disclosure requirements included in the taxonomy package as a secondary, not yet effective option.</w:t>
      </w:r>
    </w:p>
    <w:p w14:paraId="5A653354" w14:textId="34077E1E" w:rsidR="00961D4A" w:rsidRPr="00E242D2" w:rsidRDefault="00FE6AEC" w:rsidP="00FE6AEC">
      <w:pPr>
        <w:pStyle w:val="Bulletlevel1"/>
        <w:numPr>
          <w:ilvl w:val="0"/>
          <w:numId w:val="60"/>
        </w:numPr>
        <w:ind w:right="132"/>
        <w:jc w:val="both"/>
      </w:pPr>
      <w:r w:rsidRPr="00E242D2">
        <w:t xml:space="preserve">Contracts Referencing Nature-dependent Electricity (Amendments to IFRS 9 and IFRS 7) – addresses the challenges encountered by companies and introduces eleven new disclosure elements to reflect the requirements outlined in </w:t>
      </w:r>
      <w:r w:rsidRPr="00E242D2">
        <w:rPr>
          <w:i/>
          <w:iCs/>
        </w:rPr>
        <w:t>Contracts Referencing Nature-dependent Electricity</w:t>
      </w:r>
      <w:r w:rsidRPr="00E242D2">
        <w:t>. Additionally, it includes one further element to capture the disclosure of early application, all in accordance with established taxonomy modelling policies.</w:t>
      </w:r>
    </w:p>
    <w:p w14:paraId="05E8F41B" w14:textId="2ACF30B2" w:rsidR="00961D4A" w:rsidRPr="00E242D2" w:rsidRDefault="00961D4A" w:rsidP="008530EF">
      <w:pPr>
        <w:pStyle w:val="Bulletlevel1"/>
        <w:numPr>
          <w:ilvl w:val="0"/>
          <w:numId w:val="60"/>
        </w:numPr>
        <w:ind w:right="132"/>
        <w:jc w:val="both"/>
        <w:rPr>
          <w:strike/>
        </w:rPr>
      </w:pPr>
      <w:r w:rsidRPr="00E242D2">
        <w:t>IFRS 19 Subsidiaries without Public Accountability: Disclosures</w:t>
      </w:r>
      <w:r w:rsidR="007379AE" w:rsidRPr="00E242D2">
        <w:t xml:space="preserve"> – permits some subsidiaries to apply IFRS Accounting Standards with reduced disclosure requirement</w:t>
      </w:r>
      <w:r w:rsidR="00FE6AEC" w:rsidRPr="00E242D2">
        <w:t xml:space="preserve">s. The IASB incorporated references to IFRS 19 into IFRS Accounting Taxonomy elements, impacting approximately 25% of the elements within the Taxonomy. </w:t>
      </w:r>
      <w:proofErr w:type="gramStart"/>
      <w:r w:rsidR="00FE6AEC" w:rsidRPr="00E242D2">
        <w:t>Additionally</w:t>
      </w:r>
      <w:proofErr w:type="gramEnd"/>
      <w:r w:rsidR="00FE6AEC" w:rsidRPr="00E242D2">
        <w:t xml:space="preserve"> nine new elements were added to reflect requirements in IFRS 19 that were not drawn from other Accounting Standards </w:t>
      </w:r>
      <w:r w:rsidR="008B650B" w:rsidRPr="00E242D2">
        <w:t>with its incorporation in proper structures.</w:t>
      </w:r>
    </w:p>
    <w:p w14:paraId="7EEDE860" w14:textId="088D8D86" w:rsidR="00961D4A" w:rsidRPr="00E242D2" w:rsidRDefault="00961D4A" w:rsidP="008B650B">
      <w:pPr>
        <w:pStyle w:val="Bulletlevel1"/>
        <w:numPr>
          <w:ilvl w:val="0"/>
          <w:numId w:val="60"/>
        </w:numPr>
        <w:ind w:right="132"/>
        <w:jc w:val="both"/>
      </w:pPr>
      <w:r w:rsidRPr="00E242D2">
        <w:t xml:space="preserve">Amendments to the Classification and Measurement of Financial Instruments </w:t>
      </w:r>
      <w:r w:rsidRPr="00E242D2">
        <w:lastRenderedPageBreak/>
        <w:t>(Amendments to IFRS 9 and IFRS 7</w:t>
      </w:r>
      <w:r w:rsidR="008B650B" w:rsidRPr="00E242D2">
        <w:t>)</w:t>
      </w:r>
      <w:r w:rsidR="004A1638" w:rsidRPr="00E242D2">
        <w:t xml:space="preserve"> –</w:t>
      </w:r>
      <w:r w:rsidR="00F74109" w:rsidRPr="00E242D2">
        <w:t xml:space="preserve"> t</w:t>
      </w:r>
      <w:r w:rsidR="008B650B" w:rsidRPr="00E242D2">
        <w:t>he IASB created four new tables and thirteen new elements to reflect the disclosure requirements resulting from the amendments.</w:t>
      </w:r>
    </w:p>
    <w:p w14:paraId="374B6CE3" w14:textId="65EA217E" w:rsidR="00892A0F" w:rsidRPr="00E242D2" w:rsidRDefault="00961D4A" w:rsidP="008B650B">
      <w:pPr>
        <w:pStyle w:val="Bulletlevel1"/>
        <w:numPr>
          <w:ilvl w:val="0"/>
          <w:numId w:val="60"/>
        </w:numPr>
        <w:ind w:right="132"/>
        <w:jc w:val="both"/>
      </w:pPr>
      <w:r w:rsidRPr="00E242D2">
        <w:t>Annual Improvements to the IFRS Accounting Standards – Volume 11</w:t>
      </w:r>
      <w:r w:rsidR="002A7675" w:rsidRPr="00E242D2">
        <w:t xml:space="preserve"> – </w:t>
      </w:r>
      <w:r w:rsidR="008B650B" w:rsidRPr="00E242D2">
        <w:t>does not introduce new disclosure requirements requiring changes to the IFRS Accounting Taxonomy, except for the requirement to disclose early application of amendments from annual improvements.</w:t>
      </w:r>
    </w:p>
    <w:p w14:paraId="2B6B644B" w14:textId="77777777" w:rsidR="00F74109" w:rsidRPr="00E242D2" w:rsidRDefault="00F74109" w:rsidP="00F74109">
      <w:pPr>
        <w:pStyle w:val="Bulletlevel1"/>
        <w:numPr>
          <w:ilvl w:val="0"/>
          <w:numId w:val="0"/>
        </w:numPr>
        <w:ind w:left="720" w:right="132"/>
        <w:jc w:val="both"/>
      </w:pPr>
    </w:p>
    <w:p w14:paraId="3CAF5184" w14:textId="3FB00C36" w:rsidR="00415C45" w:rsidRPr="00E242D2" w:rsidRDefault="001D6E46" w:rsidP="003C753D">
      <w:pPr>
        <w:pStyle w:val="MainBodyText"/>
        <w:ind w:right="132"/>
        <w:jc w:val="both"/>
        <w:rPr>
          <w:lang w:val="en-GB"/>
        </w:rPr>
      </w:pPr>
      <w:r w:rsidRPr="00E242D2">
        <w:rPr>
          <w:color w:val="575756" w:themeColor="background2"/>
          <w:lang w:val="en-GB"/>
        </w:rPr>
        <w:t>The table below presents the summary of changes in number of elements between versions of the Full IFRS module of the IFRS taxonomy 202</w:t>
      </w:r>
      <w:r w:rsidR="00684543" w:rsidRPr="00E242D2">
        <w:rPr>
          <w:color w:val="575756" w:themeColor="background2"/>
          <w:lang w:val="en-GB"/>
        </w:rPr>
        <w:t>4</w:t>
      </w:r>
      <w:r w:rsidRPr="00E242D2">
        <w:rPr>
          <w:color w:val="575756" w:themeColor="background2"/>
          <w:lang w:val="en-GB"/>
        </w:rPr>
        <w:t xml:space="preserve"> and 202</w:t>
      </w:r>
      <w:r w:rsidR="00684543" w:rsidRPr="00E242D2">
        <w:rPr>
          <w:color w:val="575756" w:themeColor="background2"/>
          <w:lang w:val="en-GB"/>
        </w:rPr>
        <w:t>5</w:t>
      </w:r>
      <w:r w:rsidRPr="00E242D2">
        <w:rPr>
          <w:color w:val="575756" w:themeColor="background2"/>
          <w:lang w:val="en-GB"/>
        </w:rPr>
        <w:t>:</w:t>
      </w:r>
    </w:p>
    <w:p w14:paraId="5E4F4FA8" w14:textId="77777777" w:rsidR="00F74109" w:rsidRPr="00E242D2" w:rsidRDefault="00F74109" w:rsidP="00D20182">
      <w:pPr>
        <w:pStyle w:val="MainBodyText"/>
        <w:ind w:left="0" w:right="132"/>
        <w:jc w:val="both"/>
        <w:rPr>
          <w:lang w:val="en-GB"/>
        </w:rPr>
      </w:pPr>
    </w:p>
    <w:tbl>
      <w:tblPr>
        <w:tblW w:w="8818"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3998"/>
        <w:gridCol w:w="1701"/>
        <w:gridCol w:w="1559"/>
        <w:gridCol w:w="1560"/>
      </w:tblGrid>
      <w:tr w:rsidR="00CD3E2E" w:rsidRPr="00E242D2" w14:paraId="4930163D" w14:textId="4905B308" w:rsidTr="00CD3E2E">
        <w:trPr>
          <w:trHeight w:val="542"/>
        </w:trPr>
        <w:tc>
          <w:tcPr>
            <w:tcW w:w="3998" w:type="dxa"/>
            <w:tcBorders>
              <w:top w:val="dotted" w:sz="4" w:space="0" w:color="auto"/>
              <w:left w:val="dotted" w:sz="4" w:space="0" w:color="auto"/>
              <w:bottom w:val="dotted" w:sz="4" w:space="0" w:color="auto"/>
              <w:right w:val="dotted" w:sz="4" w:space="0" w:color="auto"/>
            </w:tcBorders>
            <w:shd w:val="clear" w:color="auto" w:fill="2B6AA7"/>
            <w:hideMark/>
          </w:tcPr>
          <w:p w14:paraId="7F16540C" w14:textId="747EC51B" w:rsidR="00CD3E2E" w:rsidRPr="00E242D2" w:rsidRDefault="00CD3E2E" w:rsidP="001603ED">
            <w:pPr>
              <w:pStyle w:val="TableParagraph"/>
              <w:spacing w:before="120"/>
              <w:ind w:right="499"/>
              <w:jc w:val="both"/>
              <w:rPr>
                <w:rFonts w:asciiTheme="minorHAnsi" w:hAnsiTheme="minorHAnsi" w:cstheme="minorHAnsi"/>
                <w:sz w:val="18"/>
              </w:rPr>
            </w:pPr>
            <w:r w:rsidRPr="00E242D2">
              <w:rPr>
                <w:rFonts w:asciiTheme="minorHAnsi" w:hAnsiTheme="minorHAnsi" w:cstheme="minorHAnsi"/>
                <w:color w:val="FFFFFF"/>
                <w:sz w:val="18"/>
              </w:rPr>
              <w:t>Number of taxonomy elements</w:t>
            </w:r>
          </w:p>
        </w:tc>
        <w:tc>
          <w:tcPr>
            <w:tcW w:w="1701" w:type="dxa"/>
            <w:tcBorders>
              <w:top w:val="dotted" w:sz="4" w:space="0" w:color="auto"/>
              <w:left w:val="dotted" w:sz="4" w:space="0" w:color="auto"/>
              <w:bottom w:val="dotted" w:sz="4" w:space="0" w:color="auto"/>
              <w:right w:val="dotted" w:sz="4" w:space="0" w:color="auto"/>
            </w:tcBorders>
            <w:shd w:val="clear" w:color="auto" w:fill="2B6AA7"/>
            <w:hideMark/>
          </w:tcPr>
          <w:p w14:paraId="10738BCA" w14:textId="369938A0" w:rsidR="00CD3E2E" w:rsidRPr="00E242D2" w:rsidRDefault="00CD3E2E">
            <w:pPr>
              <w:pStyle w:val="TableParagraph"/>
              <w:spacing w:before="120"/>
              <w:ind w:left="746" w:right="283" w:hanging="604"/>
              <w:jc w:val="center"/>
              <w:rPr>
                <w:rFonts w:asciiTheme="minorHAnsi" w:hAnsiTheme="minorHAnsi" w:cstheme="minorHAnsi"/>
                <w:sz w:val="18"/>
              </w:rPr>
            </w:pPr>
            <w:r w:rsidRPr="00E242D2">
              <w:rPr>
                <w:rFonts w:asciiTheme="minorHAnsi" w:hAnsiTheme="minorHAnsi" w:cstheme="minorHAnsi"/>
                <w:color w:val="FFFFFF"/>
                <w:sz w:val="18"/>
              </w:rPr>
              <w:t>IFRS 2024</w:t>
            </w:r>
          </w:p>
        </w:tc>
        <w:tc>
          <w:tcPr>
            <w:tcW w:w="1559" w:type="dxa"/>
            <w:tcBorders>
              <w:top w:val="dotted" w:sz="4" w:space="0" w:color="auto"/>
              <w:left w:val="dotted" w:sz="4" w:space="0" w:color="auto"/>
              <w:bottom w:val="dotted" w:sz="4" w:space="0" w:color="auto"/>
              <w:right w:val="dotted" w:sz="4" w:space="0" w:color="auto"/>
            </w:tcBorders>
            <w:shd w:val="clear" w:color="auto" w:fill="2B6AA7"/>
          </w:tcPr>
          <w:p w14:paraId="5E4AA8DB" w14:textId="77777777" w:rsidR="00CD3E2E" w:rsidRPr="00E242D2" w:rsidRDefault="00CD3E2E" w:rsidP="00CD3E2E">
            <w:pPr>
              <w:pStyle w:val="TableParagraph"/>
              <w:spacing w:before="120"/>
              <w:ind w:left="746" w:right="283" w:hanging="604"/>
              <w:jc w:val="center"/>
              <w:rPr>
                <w:rFonts w:asciiTheme="minorHAnsi" w:hAnsiTheme="minorHAnsi" w:cstheme="minorHAnsi"/>
                <w:color w:val="FFFFFF"/>
                <w:sz w:val="18"/>
              </w:rPr>
            </w:pPr>
            <w:r w:rsidRPr="00E242D2">
              <w:rPr>
                <w:rFonts w:asciiTheme="minorHAnsi" w:hAnsiTheme="minorHAnsi" w:cstheme="minorHAnsi"/>
                <w:color w:val="FFFFFF"/>
                <w:sz w:val="18"/>
              </w:rPr>
              <w:t>IFRS 2025</w:t>
            </w:r>
          </w:p>
          <w:p w14:paraId="7D14C35D" w14:textId="713CBAE3" w:rsidR="00CD3E2E" w:rsidRPr="00E242D2" w:rsidRDefault="00CD3E2E" w:rsidP="00CD3E2E">
            <w:pPr>
              <w:pStyle w:val="TableParagraph"/>
              <w:spacing w:before="120"/>
              <w:ind w:left="746" w:right="283" w:hanging="604"/>
              <w:jc w:val="center"/>
              <w:rPr>
                <w:rFonts w:asciiTheme="minorHAnsi" w:hAnsiTheme="minorHAnsi" w:cstheme="minorHAnsi"/>
                <w:color w:val="FFFFFF"/>
                <w:sz w:val="18"/>
              </w:rPr>
            </w:pPr>
            <w:r w:rsidRPr="00E242D2">
              <w:rPr>
                <w:rFonts w:asciiTheme="minorHAnsi" w:hAnsiTheme="minorHAnsi" w:cstheme="minorHAnsi"/>
                <w:color w:val="FFFFFF"/>
                <w:sz w:val="18"/>
              </w:rPr>
              <w:t>(IFRS 18)</w:t>
            </w:r>
          </w:p>
        </w:tc>
        <w:tc>
          <w:tcPr>
            <w:tcW w:w="1560" w:type="dxa"/>
            <w:tcBorders>
              <w:top w:val="dotted" w:sz="4" w:space="0" w:color="auto"/>
              <w:left w:val="dotted" w:sz="4" w:space="0" w:color="auto"/>
              <w:bottom w:val="dotted" w:sz="4" w:space="0" w:color="auto"/>
              <w:right w:val="dotted" w:sz="4" w:space="0" w:color="auto"/>
            </w:tcBorders>
            <w:shd w:val="clear" w:color="auto" w:fill="2B6AA7"/>
            <w:hideMark/>
          </w:tcPr>
          <w:p w14:paraId="3BC6802D" w14:textId="7D1F56CA" w:rsidR="00CD3E2E" w:rsidRPr="00E242D2" w:rsidRDefault="00CD3E2E">
            <w:pPr>
              <w:pStyle w:val="TableParagraph"/>
              <w:spacing w:before="120"/>
              <w:ind w:left="746" w:right="283" w:hanging="604"/>
              <w:jc w:val="center"/>
              <w:rPr>
                <w:rFonts w:asciiTheme="minorHAnsi" w:hAnsiTheme="minorHAnsi" w:cstheme="minorHAnsi"/>
                <w:color w:val="FFFFFF"/>
                <w:sz w:val="18"/>
              </w:rPr>
            </w:pPr>
            <w:r w:rsidRPr="00E242D2">
              <w:rPr>
                <w:rFonts w:asciiTheme="minorHAnsi" w:hAnsiTheme="minorHAnsi" w:cstheme="minorHAnsi"/>
                <w:color w:val="FFFFFF"/>
                <w:sz w:val="18"/>
              </w:rPr>
              <w:t>Difference</w:t>
            </w:r>
          </w:p>
        </w:tc>
      </w:tr>
      <w:tr w:rsidR="00CD3E2E" w:rsidRPr="00E242D2" w14:paraId="32B3DFC1" w14:textId="1B02EB34" w:rsidTr="00CD3E2E">
        <w:trPr>
          <w:trHeight w:val="767"/>
        </w:trPr>
        <w:tc>
          <w:tcPr>
            <w:tcW w:w="3998"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54D1FE79" w14:textId="63CEB091" w:rsidR="00CD3E2E" w:rsidRPr="00E242D2" w:rsidRDefault="00CD3E2E">
            <w:pPr>
              <w:pStyle w:val="TableParagraph"/>
              <w:spacing w:before="240" w:line="232" w:lineRule="auto"/>
              <w:ind w:left="318" w:right="567"/>
              <w:rPr>
                <w:rFonts w:asciiTheme="minorHAnsi" w:hAnsiTheme="minorHAnsi" w:cstheme="minorHAnsi"/>
                <w:color w:val="575756"/>
                <w:sz w:val="18"/>
              </w:rPr>
            </w:pPr>
            <w:r w:rsidRPr="00E242D2">
              <w:rPr>
                <w:rFonts w:asciiTheme="minorHAnsi" w:hAnsiTheme="minorHAnsi" w:cstheme="minorHAnsi"/>
                <w:color w:val="575756"/>
                <w:sz w:val="18"/>
              </w:rPr>
              <w:t>Reportable elements:</w:t>
            </w:r>
          </w:p>
          <w:p w14:paraId="171C3968" w14:textId="705E8993" w:rsidR="00CD3E2E" w:rsidRPr="00E242D2" w:rsidRDefault="00CD3E2E" w:rsidP="00EC239B">
            <w:pPr>
              <w:pStyle w:val="TableParagraph"/>
              <w:numPr>
                <w:ilvl w:val="0"/>
                <w:numId w:val="35"/>
              </w:numPr>
              <w:spacing w:before="240" w:line="232" w:lineRule="auto"/>
              <w:ind w:right="567"/>
              <w:rPr>
                <w:rFonts w:asciiTheme="minorHAnsi" w:hAnsiTheme="minorHAnsi" w:cstheme="minorHAnsi"/>
                <w:sz w:val="18"/>
              </w:rPr>
            </w:pPr>
            <w:r w:rsidRPr="00E242D2">
              <w:rPr>
                <w:rFonts w:asciiTheme="minorHAnsi" w:hAnsiTheme="minorHAnsi" w:cstheme="minorHAnsi"/>
                <w:color w:val="575756"/>
                <w:sz w:val="18"/>
              </w:rPr>
              <w:t>Common practice elements</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734EDB7A" w14:textId="29AD0E80" w:rsidR="00CD3E2E" w:rsidRPr="00E242D2" w:rsidRDefault="00CD3E2E" w:rsidP="005870F7">
            <w:pPr>
              <w:pStyle w:val="TableParagraph"/>
              <w:spacing w:before="240"/>
              <w:jc w:val="center"/>
              <w:rPr>
                <w:rFonts w:asciiTheme="minorHAnsi" w:hAnsiTheme="minorHAnsi" w:cstheme="minorHAnsi"/>
                <w:color w:val="575756"/>
                <w:sz w:val="18"/>
              </w:rPr>
            </w:pPr>
            <w:r w:rsidRPr="00E242D2">
              <w:rPr>
                <w:rFonts w:asciiTheme="minorHAnsi" w:hAnsiTheme="minorHAnsi" w:cstheme="minorHAnsi"/>
                <w:color w:val="575756"/>
                <w:sz w:val="18"/>
              </w:rPr>
              <w:t xml:space="preserve">3,753  </w:t>
            </w:r>
          </w:p>
          <w:p w14:paraId="3600E0EB" w14:textId="43386291" w:rsidR="00CD3E2E" w:rsidRPr="00E242D2" w:rsidRDefault="00CD3E2E" w:rsidP="00EC239B">
            <w:pPr>
              <w:pStyle w:val="TableParagraph"/>
              <w:spacing w:before="240"/>
              <w:jc w:val="center"/>
              <w:rPr>
                <w:rFonts w:asciiTheme="minorHAnsi" w:hAnsiTheme="minorHAnsi" w:cstheme="minorHAnsi"/>
                <w:color w:val="575756"/>
                <w:sz w:val="18"/>
              </w:rPr>
            </w:pPr>
            <w:r w:rsidRPr="00E242D2">
              <w:rPr>
                <w:rFonts w:asciiTheme="minorHAnsi" w:hAnsiTheme="minorHAnsi" w:cstheme="minorHAnsi"/>
                <w:color w:val="575756"/>
                <w:sz w:val="18"/>
              </w:rPr>
              <w:t>1,345</w:t>
            </w:r>
          </w:p>
        </w:tc>
        <w:tc>
          <w:tcPr>
            <w:tcW w:w="1559" w:type="dxa"/>
            <w:tcBorders>
              <w:top w:val="dotted" w:sz="4" w:space="0" w:color="auto"/>
              <w:left w:val="dotted" w:sz="4" w:space="0" w:color="auto"/>
              <w:bottom w:val="dotted" w:sz="4" w:space="0" w:color="auto"/>
              <w:right w:val="dotted" w:sz="4" w:space="0" w:color="auto"/>
            </w:tcBorders>
            <w:shd w:val="clear" w:color="auto" w:fill="F2F2F2" w:themeFill="text1" w:themeFillShade="F2"/>
          </w:tcPr>
          <w:p w14:paraId="683909D7" w14:textId="77777777" w:rsidR="00CD3E2E" w:rsidRPr="00E242D2" w:rsidRDefault="00CD3E2E" w:rsidP="00451B3C">
            <w:pPr>
              <w:pStyle w:val="TableParagraph"/>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3858</w:t>
            </w:r>
          </w:p>
          <w:p w14:paraId="7A6EC195" w14:textId="2231C3CE" w:rsidR="00CD3E2E" w:rsidRPr="00E242D2" w:rsidRDefault="00CD3E2E" w:rsidP="00451B3C">
            <w:pPr>
              <w:pStyle w:val="TableParagraph"/>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1308</w:t>
            </w:r>
          </w:p>
        </w:tc>
        <w:tc>
          <w:tcPr>
            <w:tcW w:w="156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34A6E1E9" w14:textId="7117D8E4" w:rsidR="00CD3E2E" w:rsidRPr="00E242D2" w:rsidRDefault="00CD3E2E" w:rsidP="00451B3C">
            <w:pPr>
              <w:pStyle w:val="TableParagraph"/>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+105</w:t>
            </w:r>
          </w:p>
          <w:p w14:paraId="48F323DE" w14:textId="23F03CAF" w:rsidR="00CD3E2E" w:rsidRPr="00E242D2" w:rsidRDefault="00CD3E2E" w:rsidP="00EC239B">
            <w:pPr>
              <w:pStyle w:val="TableParagraph"/>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-37</w:t>
            </w:r>
          </w:p>
        </w:tc>
      </w:tr>
      <w:tr w:rsidR="00CD3E2E" w:rsidRPr="00E242D2" w14:paraId="755033E8" w14:textId="2D693810" w:rsidTr="00CD3E2E">
        <w:trPr>
          <w:trHeight w:val="316"/>
        </w:trPr>
        <w:tc>
          <w:tcPr>
            <w:tcW w:w="3998"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399BBC5D" w14:textId="77777777" w:rsidR="00CD3E2E" w:rsidRPr="00E242D2" w:rsidRDefault="00CD3E2E">
            <w:pPr>
              <w:pStyle w:val="TableParagraph"/>
              <w:spacing w:before="240" w:line="232" w:lineRule="auto"/>
              <w:ind w:left="318" w:right="567"/>
              <w:rPr>
                <w:rFonts w:asciiTheme="minorHAnsi" w:hAnsiTheme="minorHAnsi" w:cstheme="minorHAnsi"/>
                <w:color w:val="575756"/>
                <w:sz w:val="18"/>
              </w:rPr>
            </w:pPr>
            <w:r w:rsidRPr="00E242D2">
              <w:rPr>
                <w:rFonts w:asciiTheme="minorHAnsi" w:hAnsiTheme="minorHAnsi" w:cstheme="minorHAnsi"/>
                <w:color w:val="575756"/>
                <w:sz w:val="18"/>
              </w:rPr>
              <w:t>Dimensional constructs</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6857FAD2" w14:textId="484BF338" w:rsidR="00CD3E2E" w:rsidRPr="00E242D2" w:rsidRDefault="00CD3E2E">
            <w:pPr>
              <w:pStyle w:val="TableParagraph"/>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917</w:t>
            </w:r>
          </w:p>
        </w:tc>
        <w:tc>
          <w:tcPr>
            <w:tcW w:w="1559" w:type="dxa"/>
            <w:tcBorders>
              <w:top w:val="dotted" w:sz="4" w:space="0" w:color="auto"/>
              <w:left w:val="dotted" w:sz="4" w:space="0" w:color="auto"/>
              <w:bottom w:val="dotted" w:sz="4" w:space="0" w:color="auto"/>
              <w:right w:val="dotted" w:sz="4" w:space="0" w:color="auto"/>
            </w:tcBorders>
            <w:shd w:val="clear" w:color="auto" w:fill="F2F2F2" w:themeFill="text1" w:themeFillShade="F2"/>
          </w:tcPr>
          <w:p w14:paraId="17755740" w14:textId="57D8E870" w:rsidR="00CD3E2E" w:rsidRPr="00E242D2" w:rsidRDefault="00CD3E2E" w:rsidP="005B6273">
            <w:pPr>
              <w:pStyle w:val="TableParagraph"/>
              <w:tabs>
                <w:tab w:val="left" w:pos="633"/>
                <w:tab w:val="center" w:pos="712"/>
              </w:tabs>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960</w:t>
            </w:r>
          </w:p>
        </w:tc>
        <w:tc>
          <w:tcPr>
            <w:tcW w:w="156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123E264E" w14:textId="075377CC" w:rsidR="00CD3E2E" w:rsidRPr="00E242D2" w:rsidRDefault="00CD3E2E" w:rsidP="005B6273">
            <w:pPr>
              <w:pStyle w:val="TableParagraph"/>
              <w:tabs>
                <w:tab w:val="left" w:pos="633"/>
                <w:tab w:val="center" w:pos="712"/>
              </w:tabs>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+43</w:t>
            </w:r>
          </w:p>
        </w:tc>
      </w:tr>
      <w:tr w:rsidR="00CD3E2E" w:rsidRPr="00E242D2" w14:paraId="7A5C842B" w14:textId="51047315" w:rsidTr="00CD3E2E">
        <w:trPr>
          <w:trHeight w:val="316"/>
        </w:trPr>
        <w:tc>
          <w:tcPr>
            <w:tcW w:w="3998"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20E4469E" w14:textId="77777777" w:rsidR="00CD3E2E" w:rsidRPr="00E242D2" w:rsidRDefault="00CD3E2E">
            <w:pPr>
              <w:pStyle w:val="TableParagraph"/>
              <w:spacing w:before="240" w:line="232" w:lineRule="auto"/>
              <w:ind w:left="318" w:right="567"/>
              <w:rPr>
                <w:rFonts w:asciiTheme="minorHAnsi" w:hAnsiTheme="minorHAnsi" w:cstheme="minorHAnsi"/>
                <w:color w:val="575756"/>
                <w:sz w:val="18"/>
              </w:rPr>
            </w:pPr>
            <w:r w:rsidRPr="00E242D2">
              <w:rPr>
                <w:rFonts w:asciiTheme="minorHAnsi" w:hAnsiTheme="minorHAnsi" w:cstheme="minorHAnsi"/>
                <w:color w:val="575756"/>
                <w:sz w:val="18"/>
              </w:rPr>
              <w:t>Titles / headers</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72773A14" w14:textId="16F57066" w:rsidR="00CD3E2E" w:rsidRPr="00E242D2" w:rsidRDefault="00CD3E2E">
            <w:pPr>
              <w:pStyle w:val="TableParagraph"/>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660</w:t>
            </w:r>
          </w:p>
        </w:tc>
        <w:tc>
          <w:tcPr>
            <w:tcW w:w="1559" w:type="dxa"/>
            <w:tcBorders>
              <w:top w:val="dotted" w:sz="4" w:space="0" w:color="auto"/>
              <w:left w:val="dotted" w:sz="4" w:space="0" w:color="auto"/>
              <w:bottom w:val="dotted" w:sz="4" w:space="0" w:color="auto"/>
              <w:right w:val="dotted" w:sz="4" w:space="0" w:color="auto"/>
            </w:tcBorders>
            <w:shd w:val="clear" w:color="auto" w:fill="F2F2F2" w:themeFill="text1" w:themeFillShade="F2"/>
          </w:tcPr>
          <w:p w14:paraId="37EFF2DA" w14:textId="0240E529" w:rsidR="00CD3E2E" w:rsidRPr="00E242D2" w:rsidRDefault="00CD3E2E" w:rsidP="005B6273">
            <w:pPr>
              <w:pStyle w:val="TableParagraph"/>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696</w:t>
            </w:r>
          </w:p>
        </w:tc>
        <w:tc>
          <w:tcPr>
            <w:tcW w:w="156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62FC0BC6" w14:textId="0C8B828A" w:rsidR="00CD3E2E" w:rsidRPr="00E242D2" w:rsidRDefault="00CD3E2E" w:rsidP="005B6273">
            <w:pPr>
              <w:pStyle w:val="TableParagraph"/>
              <w:spacing w:before="240"/>
              <w:ind w:left="10" w:hanging="120"/>
              <w:jc w:val="center"/>
              <w:rPr>
                <w:rFonts w:asciiTheme="minorHAnsi" w:hAnsiTheme="minorHAnsi" w:cstheme="minorHAnsi"/>
                <w:color w:val="575756"/>
                <w:sz w:val="18"/>
              </w:rPr>
            </w:pPr>
            <w:r w:rsidRPr="00E242D2">
              <w:rPr>
                <w:rFonts w:asciiTheme="minorHAnsi" w:hAnsiTheme="minorHAnsi" w:cstheme="minorHAnsi"/>
                <w:color w:val="575756"/>
                <w:sz w:val="18"/>
              </w:rPr>
              <w:t>+36</w:t>
            </w:r>
          </w:p>
        </w:tc>
      </w:tr>
      <w:tr w:rsidR="00CD3E2E" w:rsidRPr="00E242D2" w14:paraId="1CD0148A" w14:textId="00E04A46" w:rsidTr="00CD3E2E">
        <w:trPr>
          <w:trHeight w:val="622"/>
        </w:trPr>
        <w:tc>
          <w:tcPr>
            <w:tcW w:w="3998"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4A474C46" w14:textId="77777777" w:rsidR="00CD3E2E" w:rsidRPr="00E242D2" w:rsidRDefault="00CD3E2E">
            <w:pPr>
              <w:pStyle w:val="TableParagraph"/>
              <w:spacing w:before="240" w:line="232" w:lineRule="auto"/>
              <w:ind w:left="318" w:right="93"/>
              <w:rPr>
                <w:rFonts w:asciiTheme="minorHAnsi" w:hAnsiTheme="minorHAnsi" w:cstheme="minorHAnsi"/>
                <w:color w:val="575756"/>
                <w:sz w:val="18"/>
              </w:rPr>
            </w:pPr>
            <w:r w:rsidRPr="00E242D2">
              <w:rPr>
                <w:rFonts w:asciiTheme="minorHAnsi" w:hAnsiTheme="minorHAnsi" w:cstheme="minorHAnsi"/>
                <w:b/>
                <w:color w:val="575756"/>
                <w:sz w:val="18"/>
              </w:rPr>
              <w:t>Total number of taxonomy elements</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11B7F992" w14:textId="7A7F675A" w:rsidR="00CD3E2E" w:rsidRPr="00E242D2" w:rsidRDefault="00CD3E2E">
            <w:pPr>
              <w:pStyle w:val="TableParagraph"/>
              <w:spacing w:before="240"/>
              <w:ind w:left="10" w:hanging="120"/>
              <w:jc w:val="center"/>
              <w:rPr>
                <w:rFonts w:asciiTheme="minorHAnsi" w:hAnsiTheme="minorHAnsi" w:cstheme="minorHAnsi"/>
                <w:b/>
                <w:color w:val="575756"/>
                <w:sz w:val="18"/>
              </w:rPr>
            </w:pPr>
            <w:r w:rsidRPr="00E242D2">
              <w:rPr>
                <w:rFonts w:asciiTheme="minorHAnsi" w:hAnsiTheme="minorHAnsi" w:cstheme="minorHAnsi"/>
                <w:b/>
                <w:color w:val="575756"/>
                <w:sz w:val="18"/>
              </w:rPr>
              <w:t>5,330</w:t>
            </w:r>
          </w:p>
        </w:tc>
        <w:tc>
          <w:tcPr>
            <w:tcW w:w="1559" w:type="dxa"/>
            <w:tcBorders>
              <w:top w:val="dotted" w:sz="4" w:space="0" w:color="auto"/>
              <w:left w:val="dotted" w:sz="4" w:space="0" w:color="auto"/>
              <w:bottom w:val="dotted" w:sz="4" w:space="0" w:color="auto"/>
              <w:right w:val="dotted" w:sz="4" w:space="0" w:color="auto"/>
            </w:tcBorders>
            <w:shd w:val="clear" w:color="auto" w:fill="F2F2F2" w:themeFill="text1" w:themeFillShade="F2"/>
          </w:tcPr>
          <w:p w14:paraId="5C92505C" w14:textId="0053AD63" w:rsidR="00CD3E2E" w:rsidRPr="00E242D2" w:rsidRDefault="00CD3E2E" w:rsidP="005B6273">
            <w:pPr>
              <w:pStyle w:val="TableParagraph"/>
              <w:spacing w:before="240"/>
              <w:ind w:left="10" w:hanging="120"/>
              <w:jc w:val="center"/>
              <w:rPr>
                <w:rFonts w:asciiTheme="minorHAnsi" w:hAnsiTheme="minorHAnsi" w:cstheme="minorHAnsi"/>
                <w:b/>
                <w:color w:val="575756"/>
                <w:sz w:val="18"/>
              </w:rPr>
            </w:pPr>
            <w:r w:rsidRPr="00E242D2">
              <w:rPr>
                <w:rFonts w:asciiTheme="minorHAnsi" w:hAnsiTheme="minorHAnsi" w:cstheme="minorHAnsi"/>
                <w:b/>
                <w:color w:val="575756"/>
                <w:sz w:val="18"/>
              </w:rPr>
              <w:t>5514</w:t>
            </w:r>
          </w:p>
        </w:tc>
        <w:tc>
          <w:tcPr>
            <w:tcW w:w="1560" w:type="dxa"/>
            <w:tcBorders>
              <w:top w:val="dotted" w:sz="4" w:space="0" w:color="auto"/>
              <w:left w:val="dotted" w:sz="4" w:space="0" w:color="auto"/>
              <w:bottom w:val="dotted" w:sz="4" w:space="0" w:color="auto"/>
              <w:right w:val="dotted" w:sz="4" w:space="0" w:color="auto"/>
            </w:tcBorders>
            <w:shd w:val="clear" w:color="auto" w:fill="F2F2F2" w:themeFill="text1" w:themeFillShade="F2"/>
            <w:hideMark/>
          </w:tcPr>
          <w:p w14:paraId="59EE0F5C" w14:textId="4477BB74" w:rsidR="00CD3E2E" w:rsidRPr="00E242D2" w:rsidRDefault="00CD3E2E" w:rsidP="005B6273">
            <w:pPr>
              <w:pStyle w:val="TableParagraph"/>
              <w:spacing w:before="240"/>
              <w:ind w:left="10" w:hanging="120"/>
              <w:jc w:val="center"/>
              <w:rPr>
                <w:rFonts w:asciiTheme="minorHAnsi" w:hAnsiTheme="minorHAnsi" w:cstheme="minorHAnsi"/>
                <w:b/>
                <w:color w:val="575756"/>
                <w:sz w:val="18"/>
              </w:rPr>
            </w:pPr>
            <w:r w:rsidRPr="00E242D2">
              <w:rPr>
                <w:rFonts w:asciiTheme="minorHAnsi" w:hAnsiTheme="minorHAnsi" w:cstheme="minorHAnsi"/>
                <w:b/>
                <w:color w:val="575756"/>
                <w:sz w:val="18"/>
              </w:rPr>
              <w:t>+184</w:t>
            </w:r>
          </w:p>
        </w:tc>
      </w:tr>
    </w:tbl>
    <w:p w14:paraId="3C5E0C9A" w14:textId="77777777" w:rsidR="007000C4" w:rsidRPr="00E242D2" w:rsidRDefault="007000C4" w:rsidP="009F67EB">
      <w:pPr>
        <w:pStyle w:val="indexlevel1"/>
        <w:rPr>
          <w:noProof w:val="0"/>
          <w:lang w:val="en-GB"/>
        </w:rPr>
      </w:pPr>
    </w:p>
    <w:p w14:paraId="59B177AE" w14:textId="6D03CDAF" w:rsidR="00073FE6" w:rsidRPr="00E242D2" w:rsidRDefault="008530EF" w:rsidP="008530EF">
      <w:pPr>
        <w:pStyle w:val="indexlevel1"/>
        <w:ind w:left="142"/>
        <w:jc w:val="both"/>
        <w:rPr>
          <w:noProof w:val="0"/>
          <w:lang w:val="en-GB"/>
        </w:rPr>
      </w:pPr>
      <w:r w:rsidRPr="00E242D2">
        <w:rPr>
          <w:noProof w:val="0"/>
          <w:lang w:val="en-GB"/>
        </w:rPr>
        <w:t>The IFRS XBRL Accounting Taxonomy 202</w:t>
      </w:r>
      <w:r w:rsidR="002447D3" w:rsidRPr="00E242D2">
        <w:rPr>
          <w:noProof w:val="0"/>
          <w:lang w:val="en-GB"/>
        </w:rPr>
        <w:t>4</w:t>
      </w:r>
      <w:r w:rsidRPr="00E242D2">
        <w:rPr>
          <w:noProof w:val="0"/>
          <w:lang w:val="en-GB"/>
        </w:rPr>
        <w:t xml:space="preserve"> consists of 3,</w:t>
      </w:r>
      <w:r w:rsidR="002447D3" w:rsidRPr="00E242D2">
        <w:rPr>
          <w:noProof w:val="0"/>
          <w:lang w:val="en-GB"/>
        </w:rPr>
        <w:t>75</w:t>
      </w:r>
      <w:r w:rsidRPr="00E242D2">
        <w:rPr>
          <w:noProof w:val="0"/>
          <w:lang w:val="en-GB"/>
        </w:rPr>
        <w:t>3 reportable elements while the IFRS XBRL Accounting Taxonomy 202</w:t>
      </w:r>
      <w:r w:rsidR="002447D3" w:rsidRPr="00E242D2">
        <w:rPr>
          <w:noProof w:val="0"/>
          <w:lang w:val="en-GB"/>
        </w:rPr>
        <w:t>5</w:t>
      </w:r>
      <w:r w:rsidRPr="00E242D2">
        <w:rPr>
          <w:noProof w:val="0"/>
          <w:lang w:val="en-GB"/>
        </w:rPr>
        <w:t xml:space="preserve"> consists of 3,</w:t>
      </w:r>
      <w:r w:rsidR="002447D3" w:rsidRPr="00E242D2">
        <w:rPr>
          <w:noProof w:val="0"/>
          <w:lang w:val="en-GB"/>
        </w:rPr>
        <w:t>858</w:t>
      </w:r>
      <w:r w:rsidRPr="00E242D2">
        <w:rPr>
          <w:noProof w:val="0"/>
          <w:lang w:val="en-GB"/>
        </w:rPr>
        <w:t xml:space="preserve"> such elements. This is a result of having </w:t>
      </w:r>
      <w:r w:rsidR="00E15791" w:rsidRPr="00E242D2">
        <w:rPr>
          <w:noProof w:val="0"/>
          <w:lang w:val="en-GB"/>
        </w:rPr>
        <w:t>185</w:t>
      </w:r>
      <w:r w:rsidRPr="00E242D2">
        <w:rPr>
          <w:noProof w:val="0"/>
          <w:lang w:val="en-GB"/>
        </w:rPr>
        <w:t xml:space="preserve"> new elements added and </w:t>
      </w:r>
      <w:r w:rsidR="00961D4A" w:rsidRPr="00E242D2">
        <w:rPr>
          <w:noProof w:val="0"/>
          <w:lang w:val="en-GB"/>
        </w:rPr>
        <w:t>1</w:t>
      </w:r>
      <w:r w:rsidRPr="00E242D2">
        <w:rPr>
          <w:noProof w:val="0"/>
          <w:lang w:val="en-GB"/>
        </w:rPr>
        <w:t xml:space="preserve"> </w:t>
      </w:r>
      <w:proofErr w:type="gramStart"/>
      <w:r w:rsidRPr="00E242D2">
        <w:rPr>
          <w:noProof w:val="0"/>
          <w:lang w:val="en-GB"/>
        </w:rPr>
        <w:t>elements</w:t>
      </w:r>
      <w:proofErr w:type="gramEnd"/>
      <w:r w:rsidRPr="00E242D2">
        <w:rPr>
          <w:noProof w:val="0"/>
          <w:lang w:val="en-GB"/>
        </w:rPr>
        <w:t xml:space="preserve"> deprecated. </w:t>
      </w:r>
      <w:proofErr w:type="gramStart"/>
      <w:r w:rsidRPr="00E242D2">
        <w:rPr>
          <w:noProof w:val="0"/>
          <w:lang w:val="en-GB"/>
        </w:rPr>
        <w:t>Therefore</w:t>
      </w:r>
      <w:proofErr w:type="gramEnd"/>
      <w:r w:rsidRPr="00E242D2">
        <w:rPr>
          <w:noProof w:val="0"/>
          <w:lang w:val="en-GB"/>
        </w:rPr>
        <w:t xml:space="preserve"> in current taxonomy release </w:t>
      </w:r>
      <w:r w:rsidR="00CD3E2E" w:rsidRPr="00E242D2">
        <w:rPr>
          <w:noProof w:val="0"/>
          <w:lang w:val="en-GB"/>
        </w:rPr>
        <w:t>105</w:t>
      </w:r>
      <w:r w:rsidRPr="00E242D2">
        <w:rPr>
          <w:noProof w:val="0"/>
          <w:lang w:val="en-GB"/>
        </w:rPr>
        <w:t xml:space="preserve"> reportable elements were added. </w:t>
      </w:r>
      <w:proofErr w:type="gramStart"/>
      <w:r w:rsidRPr="00E242D2">
        <w:rPr>
          <w:noProof w:val="0"/>
          <w:lang w:val="en-GB"/>
        </w:rPr>
        <w:t>Furthermore</w:t>
      </w:r>
      <w:proofErr w:type="gramEnd"/>
      <w:r w:rsidRPr="00E242D2">
        <w:rPr>
          <w:noProof w:val="0"/>
          <w:lang w:val="en-GB"/>
        </w:rPr>
        <w:t xml:space="preserve"> the sum of all categories shows the total number of taxonomy elements for current year and previous year, having more by </w:t>
      </w:r>
      <w:r w:rsidR="002447D3" w:rsidRPr="00E242D2">
        <w:rPr>
          <w:noProof w:val="0"/>
          <w:lang w:val="en-GB"/>
        </w:rPr>
        <w:t>184</w:t>
      </w:r>
      <w:r w:rsidRPr="00E242D2">
        <w:rPr>
          <w:noProof w:val="0"/>
          <w:lang w:val="en-GB"/>
        </w:rPr>
        <w:t xml:space="preserve"> elements in 202</w:t>
      </w:r>
      <w:r w:rsidR="002447D3" w:rsidRPr="00E242D2">
        <w:rPr>
          <w:noProof w:val="0"/>
          <w:lang w:val="en-GB"/>
        </w:rPr>
        <w:t>5</w:t>
      </w:r>
      <w:r w:rsidRPr="00E242D2">
        <w:rPr>
          <w:noProof w:val="0"/>
          <w:lang w:val="en-GB"/>
        </w:rPr>
        <w:t xml:space="preserve">. </w:t>
      </w:r>
      <w:r w:rsidR="00056D1C" w:rsidRPr="00E242D2">
        <w:rPr>
          <w:noProof w:val="0"/>
          <w:lang w:val="en-GB"/>
        </w:rPr>
        <w:t>T</w:t>
      </w:r>
      <w:r w:rsidRPr="00E242D2">
        <w:rPr>
          <w:noProof w:val="0"/>
          <w:lang w:val="en-GB"/>
        </w:rPr>
        <w:t xml:space="preserve">he </w:t>
      </w:r>
      <w:r w:rsidR="00883071" w:rsidRPr="00E242D2">
        <w:rPr>
          <w:noProof w:val="0"/>
          <w:lang w:val="en-GB"/>
        </w:rPr>
        <w:t>number of</w:t>
      </w:r>
      <w:r w:rsidRPr="00E242D2">
        <w:rPr>
          <w:noProof w:val="0"/>
          <w:lang w:val="en-GB"/>
        </w:rPr>
        <w:t xml:space="preserve"> common practice elements </w:t>
      </w:r>
      <w:r w:rsidR="00883071" w:rsidRPr="00E242D2">
        <w:rPr>
          <w:noProof w:val="0"/>
          <w:lang w:val="en-GB"/>
        </w:rPr>
        <w:t>decreased by 37</w:t>
      </w:r>
      <w:r w:rsidRPr="00E242D2">
        <w:rPr>
          <w:noProof w:val="0"/>
          <w:lang w:val="en-GB"/>
        </w:rPr>
        <w:t>.</w:t>
      </w:r>
    </w:p>
    <w:p w14:paraId="435DD7E5" w14:textId="4608BBE1" w:rsidR="002447D3" w:rsidRPr="00E242D2" w:rsidRDefault="002447D3" w:rsidP="008530EF">
      <w:pPr>
        <w:pStyle w:val="indexlevel1"/>
        <w:ind w:left="142"/>
        <w:jc w:val="both"/>
        <w:rPr>
          <w:noProof w:val="0"/>
          <w:lang w:val="en-GB"/>
        </w:rPr>
      </w:pPr>
      <w:r w:rsidRPr="00E242D2">
        <w:rPr>
          <w:noProof w:val="0"/>
          <w:lang w:val="en-GB"/>
        </w:rPr>
        <w:t>The IFRS for SMEs module has not yet been published therefore the changes applicable for IFRS for SMEs module are to be determined.</w:t>
      </w:r>
    </w:p>
    <w:p w14:paraId="073EA92D" w14:textId="288F8336" w:rsidR="00CE199A" w:rsidRPr="00E242D2" w:rsidRDefault="00C22BDC" w:rsidP="00C22BDC">
      <w:pPr>
        <w:pStyle w:val="Heading2"/>
        <w:jc w:val="both"/>
        <w:rPr>
          <w:lang w:val="en-GB"/>
        </w:rPr>
      </w:pPr>
      <w:bookmarkStart w:id="12" w:name="_Toc195789348"/>
      <w:r w:rsidRPr="00E242D2">
        <w:rPr>
          <w:lang w:val="en-GB"/>
        </w:rPr>
        <w:t>Impact on the CIPC taxonomy</w:t>
      </w:r>
      <w:bookmarkEnd w:id="12"/>
    </w:p>
    <w:p w14:paraId="366D9FDF" w14:textId="428011E3" w:rsidR="00CE199A" w:rsidRPr="00E242D2" w:rsidRDefault="00CE199A" w:rsidP="00CE199A">
      <w:pPr>
        <w:pStyle w:val="MainBodyText"/>
        <w:ind w:right="132"/>
        <w:jc w:val="both"/>
        <w:rPr>
          <w:lang w:val="en-GB"/>
        </w:rPr>
      </w:pPr>
      <w:r w:rsidRPr="00E242D2">
        <w:rPr>
          <w:lang w:val="en-GB"/>
        </w:rPr>
        <w:t xml:space="preserve">The IFRS </w:t>
      </w:r>
      <w:r w:rsidR="003910ED" w:rsidRPr="00E242D2">
        <w:rPr>
          <w:lang w:val="en-GB"/>
        </w:rPr>
        <w:t>202</w:t>
      </w:r>
      <w:r w:rsidR="00684543" w:rsidRPr="00E242D2">
        <w:rPr>
          <w:lang w:val="en-GB"/>
        </w:rPr>
        <w:t>4</w:t>
      </w:r>
      <w:r w:rsidR="003910ED" w:rsidRPr="00E242D2">
        <w:rPr>
          <w:lang w:val="en-GB"/>
        </w:rPr>
        <w:t xml:space="preserve"> </w:t>
      </w:r>
      <w:r w:rsidRPr="00E242D2">
        <w:rPr>
          <w:lang w:val="en-GB"/>
        </w:rPr>
        <w:t xml:space="preserve">information scope part of the CIPC taxonomy was compared in detail, based on the versioning report issued by the IASB, with the final release of the IFRS </w:t>
      </w:r>
      <w:r w:rsidR="003910ED" w:rsidRPr="00E242D2">
        <w:rPr>
          <w:lang w:val="en-GB"/>
        </w:rPr>
        <w:t>202</w:t>
      </w:r>
      <w:r w:rsidR="00684543" w:rsidRPr="00E242D2">
        <w:rPr>
          <w:lang w:val="en-GB"/>
        </w:rPr>
        <w:t>5</w:t>
      </w:r>
      <w:r w:rsidR="003910ED" w:rsidRPr="00E242D2">
        <w:rPr>
          <w:lang w:val="en-GB"/>
        </w:rPr>
        <w:t xml:space="preserve"> </w:t>
      </w:r>
      <w:r w:rsidRPr="00E242D2">
        <w:rPr>
          <w:lang w:val="en-GB"/>
        </w:rPr>
        <w:t xml:space="preserve">taxonomy for any possible differences. The updates described in the previous section would affect the CIPC </w:t>
      </w:r>
      <w:r w:rsidR="00F534C2" w:rsidRPr="00E242D2">
        <w:rPr>
          <w:lang w:val="en-GB"/>
        </w:rPr>
        <w:t xml:space="preserve">annual XBRL </w:t>
      </w:r>
      <w:r w:rsidRPr="00E242D2">
        <w:rPr>
          <w:lang w:val="en-GB"/>
        </w:rPr>
        <w:t>taxonomy in a moderate manner</w:t>
      </w:r>
      <w:r w:rsidR="00231E0B" w:rsidRPr="00E242D2">
        <w:rPr>
          <w:lang w:val="en-GB"/>
        </w:rPr>
        <w:t xml:space="preserve"> and should not pose any difficulties in terms of their implementation.</w:t>
      </w:r>
      <w:r w:rsidR="00C13AFC" w:rsidRPr="00E242D2">
        <w:rPr>
          <w:lang w:val="en-GB"/>
        </w:rPr>
        <w:t xml:space="preserve"> </w:t>
      </w:r>
      <w:r w:rsidRPr="00E242D2">
        <w:rPr>
          <w:lang w:val="en-GB"/>
        </w:rPr>
        <w:t xml:space="preserve"> </w:t>
      </w:r>
    </w:p>
    <w:p w14:paraId="0B526D10" w14:textId="3FD219E7" w:rsidR="00CC386E" w:rsidRPr="00E242D2" w:rsidRDefault="00CC386E" w:rsidP="00CE199A">
      <w:pPr>
        <w:pStyle w:val="MainBodyText"/>
        <w:ind w:right="132"/>
        <w:jc w:val="both"/>
        <w:rPr>
          <w:lang w:val="en-GB"/>
        </w:rPr>
      </w:pPr>
      <w:r w:rsidRPr="00E242D2">
        <w:rPr>
          <w:lang w:val="en-GB"/>
        </w:rPr>
        <w:t xml:space="preserve">From the technical perspective, changes performed by the IFRS Foundation </w:t>
      </w:r>
      <w:r w:rsidR="006525DF" w:rsidRPr="00E242D2">
        <w:rPr>
          <w:lang w:val="en-GB"/>
        </w:rPr>
        <w:t>are considered as non-</w:t>
      </w:r>
      <w:proofErr w:type="gramStart"/>
      <w:r w:rsidR="006525DF" w:rsidRPr="00E242D2">
        <w:rPr>
          <w:lang w:val="en-GB"/>
        </w:rPr>
        <w:t>critical</w:t>
      </w:r>
      <w:r w:rsidR="00771F12" w:rsidRPr="00E242D2">
        <w:rPr>
          <w:lang w:val="en-GB"/>
        </w:rPr>
        <w:t>,</w:t>
      </w:r>
      <w:r w:rsidR="00EA087C" w:rsidRPr="00E242D2">
        <w:rPr>
          <w:lang w:val="en-GB"/>
        </w:rPr>
        <w:t xml:space="preserve"> and</w:t>
      </w:r>
      <w:proofErr w:type="gramEnd"/>
      <w:r w:rsidR="00EA087C" w:rsidRPr="00E242D2">
        <w:rPr>
          <w:lang w:val="en-GB"/>
        </w:rPr>
        <w:t xml:space="preserve"> should not impose any updates by the SSP members in their software solutions to ensure correct processing and consumption of the taxonomy.</w:t>
      </w:r>
    </w:p>
    <w:p w14:paraId="7195C507" w14:textId="56329A4D" w:rsidR="00CE199A" w:rsidRPr="00E242D2" w:rsidRDefault="00CE199A" w:rsidP="00CE199A">
      <w:pPr>
        <w:pStyle w:val="MainBodyText"/>
        <w:spacing w:after="240"/>
        <w:ind w:right="132"/>
        <w:jc w:val="both"/>
        <w:rPr>
          <w:lang w:val="en-GB"/>
        </w:rPr>
      </w:pPr>
      <w:r w:rsidRPr="00E242D2">
        <w:rPr>
          <w:lang w:val="en-GB"/>
        </w:rPr>
        <w:t xml:space="preserve">The following </w:t>
      </w:r>
      <w:r w:rsidR="00C22BDC" w:rsidRPr="00E242D2">
        <w:rPr>
          <w:lang w:val="en-GB"/>
        </w:rPr>
        <w:t>sub-</w:t>
      </w:r>
      <w:r w:rsidRPr="00E242D2">
        <w:rPr>
          <w:lang w:val="en-GB"/>
        </w:rPr>
        <w:t>section</w:t>
      </w:r>
      <w:r w:rsidR="00C13AFC" w:rsidRPr="00E242D2">
        <w:rPr>
          <w:lang w:val="en-GB"/>
        </w:rPr>
        <w:t xml:space="preserve">s present </w:t>
      </w:r>
      <w:r w:rsidRPr="00E242D2">
        <w:rPr>
          <w:lang w:val="en-GB"/>
        </w:rPr>
        <w:t>a general list of applicable changes per each CIPC taxonomy module.</w:t>
      </w:r>
    </w:p>
    <w:p w14:paraId="19B47EF4" w14:textId="52D8A716" w:rsidR="00CE199A" w:rsidRPr="00E242D2" w:rsidRDefault="00CE199A" w:rsidP="00CE199A">
      <w:pPr>
        <w:pStyle w:val="Heading3"/>
        <w:ind w:left="142"/>
      </w:pPr>
      <w:bookmarkStart w:id="13" w:name="_Toc6318041"/>
      <w:bookmarkStart w:id="14" w:name="_Toc195789349"/>
      <w:r w:rsidRPr="00E242D2">
        <w:t xml:space="preserve">IFRS-FULL structures affected by </w:t>
      </w:r>
      <w:bookmarkEnd w:id="13"/>
      <w:r w:rsidRPr="00E242D2">
        <w:t xml:space="preserve">IFRS </w:t>
      </w:r>
      <w:r w:rsidR="005B3339" w:rsidRPr="00E242D2">
        <w:t>202</w:t>
      </w:r>
      <w:r w:rsidR="00792CF4" w:rsidRPr="00E242D2">
        <w:t>5</w:t>
      </w:r>
      <w:r w:rsidR="005B3339" w:rsidRPr="00E242D2">
        <w:t xml:space="preserve"> </w:t>
      </w:r>
      <w:r w:rsidR="003E63CF" w:rsidRPr="00E242D2">
        <w:t>updates</w:t>
      </w:r>
      <w:bookmarkEnd w:id="14"/>
    </w:p>
    <w:p w14:paraId="76D5D041" w14:textId="1081AE89" w:rsidR="008530EF" w:rsidRPr="00E242D2" w:rsidRDefault="008530EF" w:rsidP="008530EF">
      <w:pPr>
        <w:pStyle w:val="MainBodyText"/>
        <w:spacing w:after="240"/>
        <w:ind w:right="132"/>
        <w:jc w:val="both"/>
        <w:rPr>
          <w:lang w:val="en-GB"/>
        </w:rPr>
      </w:pPr>
      <w:r w:rsidRPr="00E242D2">
        <w:rPr>
          <w:lang w:val="en-GB"/>
        </w:rPr>
        <w:t xml:space="preserve">In general, total of </w:t>
      </w:r>
      <w:r w:rsidR="00575045" w:rsidRPr="00E242D2">
        <w:rPr>
          <w:lang w:val="en-GB"/>
        </w:rPr>
        <w:t>17</w:t>
      </w:r>
      <w:r w:rsidRPr="00E242D2">
        <w:rPr>
          <w:lang w:val="en-GB"/>
        </w:rPr>
        <w:t xml:space="preserve"> extended link roles and their structure contents were updated in the IFRS taxonomy 2024, with </w:t>
      </w:r>
      <w:r w:rsidR="0082659C" w:rsidRPr="00E242D2">
        <w:rPr>
          <w:lang w:val="en-GB"/>
        </w:rPr>
        <w:t>4</w:t>
      </w:r>
      <w:r w:rsidRPr="00E242D2">
        <w:rPr>
          <w:lang w:val="en-GB"/>
        </w:rPr>
        <w:t xml:space="preserve"> extended link </w:t>
      </w:r>
      <w:proofErr w:type="gramStart"/>
      <w:r w:rsidRPr="00E242D2">
        <w:rPr>
          <w:lang w:val="en-GB"/>
        </w:rPr>
        <w:t>role</w:t>
      </w:r>
      <w:proofErr w:type="gramEnd"/>
      <w:r w:rsidRPr="00E242D2">
        <w:rPr>
          <w:lang w:val="en-GB"/>
        </w:rPr>
        <w:t xml:space="preserve"> added</w:t>
      </w:r>
      <w:r w:rsidR="0082659C" w:rsidRPr="00E242D2">
        <w:rPr>
          <w:lang w:val="en-GB"/>
        </w:rPr>
        <w:t xml:space="preserve"> and 2</w:t>
      </w:r>
      <w:r w:rsidR="00492496" w:rsidRPr="00E242D2">
        <w:rPr>
          <w:lang w:val="en-GB"/>
        </w:rPr>
        <w:t xml:space="preserve"> removed</w:t>
      </w:r>
      <w:r w:rsidRPr="00E242D2">
        <w:rPr>
          <w:lang w:val="en-GB"/>
        </w:rPr>
        <w:t>. The table below presents the distribution of elements added and/or removed per each structure.</w:t>
      </w:r>
    </w:p>
    <w:tbl>
      <w:tblPr>
        <w:tblW w:w="8930" w:type="dxa"/>
        <w:tblInd w:w="137" w:type="dxa"/>
        <w:tblCellMar>
          <w:left w:w="70" w:type="dxa"/>
          <w:right w:w="70" w:type="dxa"/>
        </w:tblCellMar>
        <w:tblLook w:val="04A0" w:firstRow="1" w:lastRow="0" w:firstColumn="1" w:lastColumn="0" w:noHBand="0" w:noVBand="1"/>
      </w:tblPr>
      <w:tblGrid>
        <w:gridCol w:w="5528"/>
        <w:gridCol w:w="1276"/>
        <w:gridCol w:w="992"/>
        <w:gridCol w:w="1134"/>
      </w:tblGrid>
      <w:tr w:rsidR="00C62641" w:rsidRPr="00E242D2" w14:paraId="2C244B5D" w14:textId="77777777" w:rsidTr="00BF3B2C">
        <w:trPr>
          <w:trHeight w:val="802"/>
        </w:trPr>
        <w:tc>
          <w:tcPr>
            <w:tcW w:w="5528" w:type="dxa"/>
            <w:tcBorders>
              <w:top w:val="nil"/>
              <w:left w:val="dotted" w:sz="4" w:space="0" w:color="auto"/>
              <w:bottom w:val="single" w:sz="12" w:space="0" w:color="D3E8F9"/>
              <w:right w:val="nil"/>
            </w:tcBorders>
            <w:shd w:val="clear" w:color="000000" w:fill="3369A9"/>
            <w:noWrap/>
            <w:vAlign w:val="center"/>
            <w:hideMark/>
          </w:tcPr>
          <w:p w14:paraId="055A7225" w14:textId="2F4B485F" w:rsidR="00C62641" w:rsidRPr="00E242D2" w:rsidRDefault="00C62641" w:rsidP="00BF3B2C">
            <w:pPr>
              <w:widowControl/>
              <w:autoSpaceDE/>
              <w:autoSpaceDN/>
              <w:ind w:left="60"/>
              <w:jc w:val="both"/>
              <w:rPr>
                <w:rFonts w:asciiTheme="minorHAnsi" w:eastAsia="Times New Roman" w:hAnsiTheme="minorHAnsi" w:cstheme="minorHAnsi"/>
                <w:color w:val="FFFFFF"/>
                <w:sz w:val="18"/>
                <w:szCs w:val="18"/>
                <w:lang w:eastAsia="pl-PL" w:bidi="ar-SA"/>
              </w:rPr>
            </w:pPr>
            <w:r w:rsidRPr="00E242D2">
              <w:rPr>
                <w:rFonts w:asciiTheme="minorHAnsi" w:eastAsia="Times New Roman" w:hAnsiTheme="minorHAnsi" w:cstheme="minorHAnsi"/>
                <w:color w:val="FFFFFF"/>
                <w:sz w:val="18"/>
                <w:szCs w:val="18"/>
                <w:lang w:eastAsia="pl-PL" w:bidi="ar-SA"/>
              </w:rPr>
              <w:lastRenderedPageBreak/>
              <w:t>Extended link role structure impacted by changes to 202</w:t>
            </w:r>
            <w:r w:rsidR="00681587" w:rsidRPr="00E242D2">
              <w:rPr>
                <w:rFonts w:asciiTheme="minorHAnsi" w:eastAsia="Times New Roman" w:hAnsiTheme="minorHAnsi" w:cstheme="minorHAnsi"/>
                <w:color w:val="FFFFFF"/>
                <w:sz w:val="18"/>
                <w:szCs w:val="18"/>
                <w:lang w:eastAsia="pl-PL" w:bidi="ar-SA"/>
              </w:rPr>
              <w:t>5</w:t>
            </w:r>
            <w:r w:rsidRPr="00E242D2">
              <w:rPr>
                <w:rFonts w:asciiTheme="minorHAnsi" w:eastAsia="Times New Roman" w:hAnsiTheme="minorHAnsi" w:cstheme="minorHAnsi"/>
                <w:color w:val="FFFFFF"/>
                <w:sz w:val="18"/>
                <w:szCs w:val="18"/>
                <w:lang w:eastAsia="pl-PL" w:bidi="ar-SA"/>
              </w:rPr>
              <w:t xml:space="preserve"> IFRS Taxonomy</w:t>
            </w:r>
          </w:p>
        </w:tc>
        <w:tc>
          <w:tcPr>
            <w:tcW w:w="1276" w:type="dxa"/>
            <w:tcBorders>
              <w:top w:val="nil"/>
              <w:left w:val="nil"/>
              <w:bottom w:val="single" w:sz="12" w:space="0" w:color="D3E8F9"/>
              <w:right w:val="nil"/>
            </w:tcBorders>
            <w:shd w:val="clear" w:color="000000" w:fill="3369A9"/>
            <w:noWrap/>
            <w:vAlign w:val="center"/>
            <w:hideMark/>
          </w:tcPr>
          <w:p w14:paraId="79D99B5A" w14:textId="77777777" w:rsidR="00C62641" w:rsidRPr="00E242D2" w:rsidRDefault="00C62641" w:rsidP="00BF3B2C">
            <w:pPr>
              <w:widowControl/>
              <w:autoSpaceDE/>
              <w:autoSpaceDN/>
              <w:rPr>
                <w:rFonts w:asciiTheme="minorHAnsi" w:eastAsia="Times New Roman" w:hAnsiTheme="minorHAnsi" w:cstheme="minorHAnsi"/>
                <w:color w:val="FFFFFF"/>
                <w:sz w:val="18"/>
                <w:szCs w:val="18"/>
                <w:lang w:eastAsia="pl-PL" w:bidi="ar-SA"/>
              </w:rPr>
            </w:pPr>
            <w:r w:rsidRPr="00E242D2">
              <w:rPr>
                <w:rFonts w:asciiTheme="minorHAnsi" w:eastAsia="Times New Roman" w:hAnsiTheme="minorHAnsi" w:cstheme="minorHAnsi"/>
                <w:color w:val="FFFFFF"/>
                <w:sz w:val="18"/>
                <w:szCs w:val="18"/>
                <w:lang w:eastAsia="pl-PL" w:bidi="ar-SA"/>
              </w:rPr>
              <w:t>Type of change</w:t>
            </w:r>
          </w:p>
        </w:tc>
        <w:tc>
          <w:tcPr>
            <w:tcW w:w="992" w:type="dxa"/>
            <w:tcBorders>
              <w:top w:val="nil"/>
              <w:left w:val="nil"/>
              <w:bottom w:val="single" w:sz="12" w:space="0" w:color="D3E8F9"/>
              <w:right w:val="nil"/>
            </w:tcBorders>
            <w:shd w:val="clear" w:color="000000" w:fill="3369A9"/>
            <w:vAlign w:val="center"/>
            <w:hideMark/>
          </w:tcPr>
          <w:p w14:paraId="2C29C874" w14:textId="77777777" w:rsidR="00C62641" w:rsidRPr="00E242D2" w:rsidRDefault="00C62641" w:rsidP="00BF3B2C">
            <w:pPr>
              <w:widowControl/>
              <w:autoSpaceDE/>
              <w:autoSpaceDN/>
              <w:rPr>
                <w:rFonts w:asciiTheme="minorHAnsi" w:eastAsia="Times New Roman" w:hAnsiTheme="minorHAnsi" w:cstheme="minorHAnsi"/>
                <w:color w:val="FFFFFF"/>
                <w:sz w:val="18"/>
                <w:szCs w:val="18"/>
                <w:lang w:eastAsia="pl-PL" w:bidi="ar-SA"/>
              </w:rPr>
            </w:pPr>
            <w:r w:rsidRPr="00E242D2">
              <w:rPr>
                <w:rFonts w:asciiTheme="minorHAnsi" w:eastAsia="Times New Roman" w:hAnsiTheme="minorHAnsi" w:cstheme="minorHAnsi"/>
                <w:color w:val="FFFFFF"/>
                <w:sz w:val="18"/>
                <w:szCs w:val="18"/>
                <w:lang w:eastAsia="pl-PL" w:bidi="ar-SA"/>
              </w:rPr>
              <w:t>Elements added</w:t>
            </w:r>
          </w:p>
        </w:tc>
        <w:tc>
          <w:tcPr>
            <w:tcW w:w="1134" w:type="dxa"/>
            <w:tcBorders>
              <w:top w:val="nil"/>
              <w:left w:val="nil"/>
              <w:bottom w:val="single" w:sz="12" w:space="0" w:color="D3E8F9"/>
              <w:right w:val="dotted" w:sz="4" w:space="0" w:color="auto"/>
            </w:tcBorders>
            <w:shd w:val="clear" w:color="000000" w:fill="3369A9"/>
            <w:vAlign w:val="center"/>
            <w:hideMark/>
          </w:tcPr>
          <w:p w14:paraId="59FBCE40" w14:textId="77777777" w:rsidR="00C62641" w:rsidRPr="00E242D2" w:rsidRDefault="00C62641" w:rsidP="00BF3B2C">
            <w:pPr>
              <w:widowControl/>
              <w:autoSpaceDE/>
              <w:autoSpaceDN/>
              <w:jc w:val="center"/>
              <w:rPr>
                <w:rFonts w:asciiTheme="minorHAnsi" w:eastAsia="Times New Roman" w:hAnsiTheme="minorHAnsi" w:cstheme="minorHAnsi"/>
                <w:color w:val="FFFFFF"/>
                <w:sz w:val="18"/>
                <w:szCs w:val="18"/>
                <w:lang w:eastAsia="pl-PL" w:bidi="ar-SA"/>
              </w:rPr>
            </w:pPr>
            <w:r w:rsidRPr="00E242D2">
              <w:rPr>
                <w:rFonts w:asciiTheme="minorHAnsi" w:eastAsia="Times New Roman" w:hAnsiTheme="minorHAnsi" w:cstheme="minorHAnsi"/>
                <w:color w:val="FFFFFF"/>
                <w:sz w:val="18"/>
                <w:szCs w:val="18"/>
                <w:lang w:eastAsia="pl-PL" w:bidi="ar-SA"/>
              </w:rPr>
              <w:t>Elements removed</w:t>
            </w:r>
          </w:p>
        </w:tc>
      </w:tr>
      <w:tr w:rsidR="004A509B" w:rsidRPr="00E242D2" w14:paraId="7F8C5E9F"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4BC46688" w14:textId="1BBCE3C2" w:rsidR="004A509B" w:rsidRPr="00E242D2" w:rsidRDefault="004A509B"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rPr>
              <w:t>[</w:t>
            </w:r>
            <w:r w:rsidRPr="00E242D2">
              <w:rPr>
                <w:rFonts w:asciiTheme="minorHAnsi" w:eastAsia="Times New Roman" w:hAnsiTheme="minorHAnsi" w:cstheme="minorHAnsi"/>
                <w:color w:val="575756"/>
                <w:sz w:val="18"/>
                <w:szCs w:val="18"/>
                <w:lang w:eastAsia="pl-PL" w:bidi="ar-SA"/>
              </w:rPr>
              <w:t>310000] Statement of comprehensive income, profit or loss, by function of expense</w:t>
            </w:r>
          </w:p>
        </w:tc>
        <w:tc>
          <w:tcPr>
            <w:tcW w:w="1276" w:type="dxa"/>
            <w:tcBorders>
              <w:top w:val="nil"/>
              <w:left w:val="nil"/>
              <w:bottom w:val="dotted" w:sz="4" w:space="0" w:color="auto"/>
              <w:right w:val="dotted" w:sz="4" w:space="0" w:color="auto"/>
            </w:tcBorders>
            <w:shd w:val="clear" w:color="000000" w:fill="F2F2F2"/>
            <w:vAlign w:val="center"/>
          </w:tcPr>
          <w:p w14:paraId="489E3C35" w14:textId="6072BD9F" w:rsidR="004A509B" w:rsidRPr="00E242D2" w:rsidRDefault="004A509B"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Removed</w:t>
            </w:r>
          </w:p>
        </w:tc>
        <w:tc>
          <w:tcPr>
            <w:tcW w:w="992" w:type="dxa"/>
            <w:tcBorders>
              <w:top w:val="nil"/>
              <w:left w:val="nil"/>
              <w:bottom w:val="dotted" w:sz="4" w:space="0" w:color="auto"/>
              <w:right w:val="dotted" w:sz="4" w:space="0" w:color="auto"/>
            </w:tcBorders>
            <w:shd w:val="clear" w:color="000000" w:fill="F2F2F2"/>
            <w:vAlign w:val="center"/>
          </w:tcPr>
          <w:p w14:paraId="79789E0F" w14:textId="34E24B7A" w:rsidR="004A509B" w:rsidRPr="00E242D2" w:rsidRDefault="008E2E4B"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c>
          <w:tcPr>
            <w:tcW w:w="1134" w:type="dxa"/>
            <w:tcBorders>
              <w:top w:val="nil"/>
              <w:left w:val="nil"/>
              <w:bottom w:val="dotted" w:sz="4" w:space="0" w:color="auto"/>
              <w:right w:val="dotted" w:sz="4" w:space="0" w:color="auto"/>
            </w:tcBorders>
            <w:shd w:val="clear" w:color="000000" w:fill="F2F2F2"/>
            <w:noWrap/>
            <w:vAlign w:val="center"/>
          </w:tcPr>
          <w:p w14:paraId="2354995E" w14:textId="3714D2A8" w:rsidR="004A509B" w:rsidRPr="00E242D2" w:rsidRDefault="008E2E4B"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50</w:t>
            </w:r>
          </w:p>
        </w:tc>
      </w:tr>
      <w:tr w:rsidR="004A509B" w:rsidRPr="00E242D2" w14:paraId="1377BA05"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7F25AF9B" w14:textId="09B8FDDF" w:rsidR="004A509B" w:rsidRPr="00E242D2" w:rsidRDefault="004A509B"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[320000] Statement of comprehensive income, profit or loss, by nature of expense</w:t>
            </w:r>
          </w:p>
        </w:tc>
        <w:tc>
          <w:tcPr>
            <w:tcW w:w="1276" w:type="dxa"/>
            <w:tcBorders>
              <w:top w:val="nil"/>
              <w:left w:val="nil"/>
              <w:bottom w:val="dotted" w:sz="4" w:space="0" w:color="auto"/>
              <w:right w:val="dotted" w:sz="4" w:space="0" w:color="auto"/>
            </w:tcBorders>
            <w:shd w:val="clear" w:color="000000" w:fill="F2F2F2"/>
            <w:vAlign w:val="center"/>
          </w:tcPr>
          <w:p w14:paraId="63CED47A" w14:textId="01F8E0F4" w:rsidR="004A509B" w:rsidRPr="00E242D2" w:rsidRDefault="004A509B"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Removed</w:t>
            </w:r>
          </w:p>
        </w:tc>
        <w:tc>
          <w:tcPr>
            <w:tcW w:w="992" w:type="dxa"/>
            <w:tcBorders>
              <w:top w:val="nil"/>
              <w:left w:val="nil"/>
              <w:bottom w:val="dotted" w:sz="4" w:space="0" w:color="auto"/>
              <w:right w:val="dotted" w:sz="4" w:space="0" w:color="auto"/>
            </w:tcBorders>
            <w:shd w:val="clear" w:color="000000" w:fill="F2F2F2"/>
            <w:vAlign w:val="center"/>
          </w:tcPr>
          <w:p w14:paraId="10BA403D" w14:textId="51D12175" w:rsidR="004A509B" w:rsidRPr="00E242D2" w:rsidRDefault="006E532D"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c>
          <w:tcPr>
            <w:tcW w:w="1134" w:type="dxa"/>
            <w:tcBorders>
              <w:top w:val="nil"/>
              <w:left w:val="nil"/>
              <w:bottom w:val="dotted" w:sz="4" w:space="0" w:color="auto"/>
              <w:right w:val="dotted" w:sz="4" w:space="0" w:color="auto"/>
            </w:tcBorders>
            <w:shd w:val="clear" w:color="000000" w:fill="F2F2F2"/>
            <w:noWrap/>
            <w:vAlign w:val="center"/>
          </w:tcPr>
          <w:p w14:paraId="543F178F" w14:textId="5743744A" w:rsidR="004A509B" w:rsidRPr="00E242D2" w:rsidRDefault="006E532D"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52</w:t>
            </w:r>
          </w:p>
        </w:tc>
      </w:tr>
      <w:tr w:rsidR="004A509B" w:rsidRPr="00E242D2" w14:paraId="091DB6CF"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63D692B4" w14:textId="331F78C6" w:rsidR="004A509B" w:rsidRPr="00E242D2" w:rsidRDefault="00731371"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[330000] Statement presenting comprehensive income, profit or loss</w:t>
            </w:r>
          </w:p>
        </w:tc>
        <w:tc>
          <w:tcPr>
            <w:tcW w:w="1276" w:type="dxa"/>
            <w:tcBorders>
              <w:top w:val="nil"/>
              <w:left w:val="nil"/>
              <w:bottom w:val="dotted" w:sz="4" w:space="0" w:color="auto"/>
              <w:right w:val="dotted" w:sz="4" w:space="0" w:color="auto"/>
            </w:tcBorders>
            <w:shd w:val="clear" w:color="000000" w:fill="F2F2F2"/>
            <w:vAlign w:val="center"/>
          </w:tcPr>
          <w:p w14:paraId="39C6E972" w14:textId="5B8ACBC2" w:rsidR="004A509B" w:rsidRPr="00E242D2" w:rsidRDefault="00731371"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Added</w:t>
            </w:r>
          </w:p>
        </w:tc>
        <w:tc>
          <w:tcPr>
            <w:tcW w:w="992" w:type="dxa"/>
            <w:tcBorders>
              <w:top w:val="nil"/>
              <w:left w:val="nil"/>
              <w:bottom w:val="dotted" w:sz="4" w:space="0" w:color="auto"/>
              <w:right w:val="dotted" w:sz="4" w:space="0" w:color="auto"/>
            </w:tcBorders>
            <w:shd w:val="clear" w:color="000000" w:fill="F2F2F2"/>
            <w:vAlign w:val="center"/>
          </w:tcPr>
          <w:p w14:paraId="1EF67D07" w14:textId="1510C468" w:rsidR="004A509B" w:rsidRPr="00E242D2" w:rsidRDefault="006E532D"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119</w:t>
            </w:r>
          </w:p>
        </w:tc>
        <w:tc>
          <w:tcPr>
            <w:tcW w:w="1134" w:type="dxa"/>
            <w:tcBorders>
              <w:top w:val="nil"/>
              <w:left w:val="nil"/>
              <w:bottom w:val="dotted" w:sz="4" w:space="0" w:color="auto"/>
              <w:right w:val="dotted" w:sz="4" w:space="0" w:color="auto"/>
            </w:tcBorders>
            <w:shd w:val="clear" w:color="000000" w:fill="F2F2F2"/>
            <w:noWrap/>
            <w:vAlign w:val="center"/>
          </w:tcPr>
          <w:p w14:paraId="71273B60" w14:textId="3F4B959C" w:rsidR="004A509B" w:rsidRPr="00E242D2" w:rsidRDefault="006E532D"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r>
      <w:tr w:rsidR="006629CE" w:rsidRPr="00E242D2" w14:paraId="40EAB4B4"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71E20234" w14:textId="534418B2" w:rsidR="006629CE" w:rsidRPr="00E242D2" w:rsidRDefault="006629CE"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[410000] Statement of comprehensive income, OCI components presented net of tax</w:t>
            </w:r>
          </w:p>
        </w:tc>
        <w:tc>
          <w:tcPr>
            <w:tcW w:w="1276" w:type="dxa"/>
            <w:tcBorders>
              <w:top w:val="nil"/>
              <w:left w:val="nil"/>
              <w:bottom w:val="dotted" w:sz="4" w:space="0" w:color="auto"/>
              <w:right w:val="dotted" w:sz="4" w:space="0" w:color="auto"/>
            </w:tcBorders>
            <w:shd w:val="clear" w:color="000000" w:fill="F2F2F2"/>
            <w:vAlign w:val="center"/>
          </w:tcPr>
          <w:p w14:paraId="067B7AFC" w14:textId="67602C12" w:rsidR="006629CE" w:rsidRPr="00E242D2" w:rsidRDefault="006629CE"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4A29BB3C" w14:textId="436FBEE3" w:rsidR="006629CE" w:rsidRPr="00E242D2" w:rsidRDefault="006629CE"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c>
          <w:tcPr>
            <w:tcW w:w="1134" w:type="dxa"/>
            <w:tcBorders>
              <w:top w:val="nil"/>
              <w:left w:val="nil"/>
              <w:bottom w:val="dotted" w:sz="4" w:space="0" w:color="auto"/>
              <w:right w:val="dotted" w:sz="4" w:space="0" w:color="auto"/>
            </w:tcBorders>
            <w:shd w:val="clear" w:color="000000" w:fill="F2F2F2"/>
            <w:noWrap/>
            <w:vAlign w:val="center"/>
          </w:tcPr>
          <w:p w14:paraId="3E00D4A6" w14:textId="6F87AFCA" w:rsidR="006629CE" w:rsidRPr="00E242D2" w:rsidRDefault="006629CE"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w:t>
            </w:r>
          </w:p>
        </w:tc>
      </w:tr>
      <w:tr w:rsidR="007F5DEE" w:rsidRPr="00E242D2" w14:paraId="631DF6A0"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05D285C4" w14:textId="4799C78C" w:rsidR="007F5DEE" w:rsidRPr="00E242D2" w:rsidRDefault="007F5DEE"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[420000] Statement of comprehensive income, OCI components presented before tax</w:t>
            </w:r>
          </w:p>
        </w:tc>
        <w:tc>
          <w:tcPr>
            <w:tcW w:w="1276" w:type="dxa"/>
            <w:tcBorders>
              <w:top w:val="nil"/>
              <w:left w:val="nil"/>
              <w:bottom w:val="dotted" w:sz="4" w:space="0" w:color="auto"/>
              <w:right w:val="dotted" w:sz="4" w:space="0" w:color="auto"/>
            </w:tcBorders>
            <w:shd w:val="clear" w:color="000000" w:fill="F2F2F2"/>
            <w:vAlign w:val="center"/>
          </w:tcPr>
          <w:p w14:paraId="78625B0F" w14:textId="332A97DE" w:rsidR="007F5DEE" w:rsidRPr="00E242D2" w:rsidRDefault="007F5DEE"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704C4AC1" w14:textId="16E768A0" w:rsidR="007F5DEE" w:rsidRPr="00E242D2" w:rsidRDefault="007F5DEE"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c>
          <w:tcPr>
            <w:tcW w:w="1134" w:type="dxa"/>
            <w:tcBorders>
              <w:top w:val="nil"/>
              <w:left w:val="nil"/>
              <w:bottom w:val="dotted" w:sz="4" w:space="0" w:color="auto"/>
              <w:right w:val="dotted" w:sz="4" w:space="0" w:color="auto"/>
            </w:tcBorders>
            <w:shd w:val="clear" w:color="000000" w:fill="F2F2F2"/>
            <w:noWrap/>
            <w:vAlign w:val="center"/>
          </w:tcPr>
          <w:p w14:paraId="39DCB524" w14:textId="0410E32A" w:rsidR="007F5DEE" w:rsidRPr="00E242D2" w:rsidRDefault="007F5DEE"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w:t>
            </w:r>
          </w:p>
        </w:tc>
      </w:tr>
      <w:tr w:rsidR="007B51C7" w:rsidRPr="00E242D2" w14:paraId="2DE1CE49"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0A0D5D07" w14:textId="30E5AFC0" w:rsidR="007B51C7" w:rsidRPr="00E242D2" w:rsidRDefault="007F5DEE"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[510000] Statement of cash flows, direct method</w:t>
            </w:r>
          </w:p>
        </w:tc>
        <w:tc>
          <w:tcPr>
            <w:tcW w:w="1276" w:type="dxa"/>
            <w:tcBorders>
              <w:top w:val="nil"/>
              <w:left w:val="nil"/>
              <w:bottom w:val="dotted" w:sz="4" w:space="0" w:color="auto"/>
              <w:right w:val="dotted" w:sz="4" w:space="0" w:color="auto"/>
            </w:tcBorders>
            <w:shd w:val="clear" w:color="000000" w:fill="F2F2F2"/>
            <w:vAlign w:val="center"/>
          </w:tcPr>
          <w:p w14:paraId="3DB68E0A" w14:textId="6401C415" w:rsidR="007B51C7" w:rsidRPr="00E242D2" w:rsidRDefault="007B51C7"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1F73EDD3" w14:textId="5F804D06" w:rsidR="007B51C7" w:rsidRPr="00E242D2" w:rsidRDefault="007B51C7"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2</w:t>
            </w:r>
          </w:p>
        </w:tc>
        <w:tc>
          <w:tcPr>
            <w:tcW w:w="1134" w:type="dxa"/>
            <w:tcBorders>
              <w:top w:val="nil"/>
              <w:left w:val="nil"/>
              <w:bottom w:val="dotted" w:sz="4" w:space="0" w:color="auto"/>
              <w:right w:val="dotted" w:sz="4" w:space="0" w:color="auto"/>
            </w:tcBorders>
            <w:shd w:val="clear" w:color="000000" w:fill="F2F2F2"/>
            <w:noWrap/>
            <w:vAlign w:val="center"/>
          </w:tcPr>
          <w:p w14:paraId="3D778979" w14:textId="20F9884D" w:rsidR="007B51C7" w:rsidRPr="00E242D2" w:rsidRDefault="007B51C7"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4</w:t>
            </w:r>
          </w:p>
        </w:tc>
      </w:tr>
      <w:tr w:rsidR="00901AEF" w:rsidRPr="00E242D2" w14:paraId="6142E853"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442444EA" w14:textId="4103C4FF" w:rsidR="00901AEF" w:rsidRPr="00E242D2" w:rsidRDefault="00294E50"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[520000] Statement of cash flows, indirect method</w:t>
            </w:r>
          </w:p>
        </w:tc>
        <w:tc>
          <w:tcPr>
            <w:tcW w:w="1276" w:type="dxa"/>
            <w:tcBorders>
              <w:top w:val="nil"/>
              <w:left w:val="nil"/>
              <w:bottom w:val="dotted" w:sz="4" w:space="0" w:color="auto"/>
              <w:right w:val="dotted" w:sz="4" w:space="0" w:color="auto"/>
            </w:tcBorders>
            <w:shd w:val="clear" w:color="000000" w:fill="F2F2F2"/>
            <w:vAlign w:val="center"/>
          </w:tcPr>
          <w:p w14:paraId="3E7490FC" w14:textId="59808348" w:rsidR="00901AEF" w:rsidRPr="00E242D2" w:rsidRDefault="00294E50"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18EAF46F" w14:textId="41A5C52D" w:rsidR="00901AEF" w:rsidRPr="00E242D2" w:rsidRDefault="00294E50"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3</w:t>
            </w:r>
          </w:p>
        </w:tc>
        <w:tc>
          <w:tcPr>
            <w:tcW w:w="1134" w:type="dxa"/>
            <w:tcBorders>
              <w:top w:val="nil"/>
              <w:left w:val="nil"/>
              <w:bottom w:val="dotted" w:sz="4" w:space="0" w:color="auto"/>
              <w:right w:val="dotted" w:sz="4" w:space="0" w:color="auto"/>
            </w:tcBorders>
            <w:shd w:val="clear" w:color="000000" w:fill="F2F2F2"/>
            <w:noWrap/>
            <w:vAlign w:val="center"/>
          </w:tcPr>
          <w:p w14:paraId="08AFF47C" w14:textId="43F04CE1" w:rsidR="00901AEF" w:rsidRPr="00E242D2" w:rsidRDefault="00294E50"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w:t>
            </w:r>
          </w:p>
        </w:tc>
      </w:tr>
      <w:tr w:rsidR="00901AEF" w:rsidRPr="00E242D2" w14:paraId="41D2AB76"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296A4247" w14:textId="65300B32" w:rsidR="00901AEF" w:rsidRPr="00E242D2" w:rsidRDefault="00901AEF"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[710000] Statement of changes in net assets available for benefits</w:t>
            </w:r>
          </w:p>
        </w:tc>
        <w:tc>
          <w:tcPr>
            <w:tcW w:w="1276" w:type="dxa"/>
            <w:tcBorders>
              <w:top w:val="nil"/>
              <w:left w:val="nil"/>
              <w:bottom w:val="dotted" w:sz="4" w:space="0" w:color="auto"/>
              <w:right w:val="dotted" w:sz="4" w:space="0" w:color="auto"/>
            </w:tcBorders>
            <w:shd w:val="clear" w:color="000000" w:fill="F2F2F2"/>
            <w:vAlign w:val="center"/>
          </w:tcPr>
          <w:p w14:paraId="6C7D6F63" w14:textId="3239432A" w:rsidR="00901AEF" w:rsidRPr="00E242D2" w:rsidRDefault="00294E50"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232721C0" w14:textId="4789EE46" w:rsidR="00901AEF" w:rsidRPr="00E242D2" w:rsidRDefault="00901AEF"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c>
          <w:tcPr>
            <w:tcW w:w="1134" w:type="dxa"/>
            <w:tcBorders>
              <w:top w:val="nil"/>
              <w:left w:val="nil"/>
              <w:bottom w:val="dotted" w:sz="4" w:space="0" w:color="auto"/>
              <w:right w:val="dotted" w:sz="4" w:space="0" w:color="auto"/>
            </w:tcBorders>
            <w:shd w:val="clear" w:color="000000" w:fill="F2F2F2"/>
            <w:noWrap/>
            <w:vAlign w:val="center"/>
          </w:tcPr>
          <w:p w14:paraId="2F469519" w14:textId="4A089D5E" w:rsidR="00901AEF" w:rsidRPr="00E242D2" w:rsidRDefault="00901AEF"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2</w:t>
            </w:r>
          </w:p>
        </w:tc>
      </w:tr>
      <w:tr w:rsidR="005218AA" w:rsidRPr="00E242D2" w14:paraId="4C2E22B8"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00EA829A" w14:textId="3B04726D" w:rsidR="005218AA" w:rsidRPr="00E242D2" w:rsidRDefault="005218AA"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[800100] Notes - Subclassifications of assets, liabilities and equities</w:t>
            </w:r>
          </w:p>
        </w:tc>
        <w:tc>
          <w:tcPr>
            <w:tcW w:w="1276" w:type="dxa"/>
            <w:tcBorders>
              <w:top w:val="nil"/>
              <w:left w:val="nil"/>
              <w:bottom w:val="dotted" w:sz="4" w:space="0" w:color="auto"/>
              <w:right w:val="dotted" w:sz="4" w:space="0" w:color="auto"/>
            </w:tcBorders>
            <w:shd w:val="clear" w:color="000000" w:fill="F2F2F2"/>
            <w:vAlign w:val="center"/>
          </w:tcPr>
          <w:p w14:paraId="3FA0F116" w14:textId="78309A26" w:rsidR="005218AA" w:rsidRPr="00E242D2" w:rsidRDefault="005218AA"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1C4DBA1A" w14:textId="7B968BE0" w:rsidR="005218AA" w:rsidRPr="00E242D2" w:rsidRDefault="005218AA"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c>
          <w:tcPr>
            <w:tcW w:w="1134" w:type="dxa"/>
            <w:tcBorders>
              <w:top w:val="nil"/>
              <w:left w:val="nil"/>
              <w:bottom w:val="dotted" w:sz="4" w:space="0" w:color="auto"/>
              <w:right w:val="dotted" w:sz="4" w:space="0" w:color="auto"/>
            </w:tcBorders>
            <w:shd w:val="clear" w:color="000000" w:fill="F2F2F2"/>
            <w:noWrap/>
            <w:vAlign w:val="center"/>
          </w:tcPr>
          <w:p w14:paraId="6CE945F8" w14:textId="20F6CEC7" w:rsidR="005218AA" w:rsidRPr="00E242D2" w:rsidRDefault="005218AA"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w:t>
            </w:r>
          </w:p>
        </w:tc>
      </w:tr>
      <w:tr w:rsidR="00456CC1" w:rsidRPr="00E242D2" w14:paraId="718448F2"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73A22BF1" w14:textId="205D2D92" w:rsidR="00456CC1" w:rsidRPr="00E242D2" w:rsidRDefault="00F70CB6"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[800200] Notes - Analysis of income and expense</w:t>
            </w:r>
          </w:p>
        </w:tc>
        <w:tc>
          <w:tcPr>
            <w:tcW w:w="1276" w:type="dxa"/>
            <w:tcBorders>
              <w:top w:val="nil"/>
              <w:left w:val="nil"/>
              <w:bottom w:val="dotted" w:sz="4" w:space="0" w:color="auto"/>
              <w:right w:val="dotted" w:sz="4" w:space="0" w:color="auto"/>
            </w:tcBorders>
            <w:shd w:val="clear" w:color="000000" w:fill="F2F2F2"/>
            <w:vAlign w:val="center"/>
          </w:tcPr>
          <w:p w14:paraId="2F7CA96C" w14:textId="00778152" w:rsidR="00456CC1" w:rsidRPr="00E242D2" w:rsidRDefault="00F70CB6"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5C7C6B3A" w14:textId="79C6712E" w:rsidR="00456CC1" w:rsidRPr="00E242D2" w:rsidRDefault="00F70CB6"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54</w:t>
            </w:r>
          </w:p>
        </w:tc>
        <w:tc>
          <w:tcPr>
            <w:tcW w:w="1134" w:type="dxa"/>
            <w:tcBorders>
              <w:top w:val="nil"/>
              <w:left w:val="nil"/>
              <w:bottom w:val="dotted" w:sz="4" w:space="0" w:color="auto"/>
              <w:right w:val="dotted" w:sz="4" w:space="0" w:color="auto"/>
            </w:tcBorders>
            <w:shd w:val="clear" w:color="000000" w:fill="F2F2F2"/>
            <w:noWrap/>
            <w:vAlign w:val="center"/>
          </w:tcPr>
          <w:p w14:paraId="2C2A657D" w14:textId="423CB50C" w:rsidR="00456CC1" w:rsidRPr="00E242D2" w:rsidRDefault="00F70CB6"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109</w:t>
            </w:r>
          </w:p>
        </w:tc>
      </w:tr>
      <w:tr w:rsidR="00731371" w:rsidRPr="00E242D2" w14:paraId="63F806B9"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687C0BF4" w14:textId="700145DA" w:rsidR="00731371" w:rsidRPr="00E242D2" w:rsidRDefault="00A41739"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[800260] Notes - Specified expenses by nature</w:t>
            </w:r>
          </w:p>
        </w:tc>
        <w:tc>
          <w:tcPr>
            <w:tcW w:w="1276" w:type="dxa"/>
            <w:tcBorders>
              <w:top w:val="nil"/>
              <w:left w:val="nil"/>
              <w:bottom w:val="dotted" w:sz="4" w:space="0" w:color="auto"/>
              <w:right w:val="dotted" w:sz="4" w:space="0" w:color="auto"/>
            </w:tcBorders>
            <w:shd w:val="clear" w:color="000000" w:fill="F2F2F2"/>
            <w:vAlign w:val="center"/>
          </w:tcPr>
          <w:p w14:paraId="79E38281" w14:textId="1D1111DF" w:rsidR="00731371" w:rsidRPr="00E242D2" w:rsidRDefault="00A41739"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Added</w:t>
            </w:r>
          </w:p>
        </w:tc>
        <w:tc>
          <w:tcPr>
            <w:tcW w:w="992" w:type="dxa"/>
            <w:tcBorders>
              <w:top w:val="nil"/>
              <w:left w:val="nil"/>
              <w:bottom w:val="dotted" w:sz="4" w:space="0" w:color="auto"/>
              <w:right w:val="dotted" w:sz="4" w:space="0" w:color="auto"/>
            </w:tcBorders>
            <w:shd w:val="clear" w:color="000000" w:fill="F2F2F2"/>
            <w:vAlign w:val="center"/>
          </w:tcPr>
          <w:p w14:paraId="28127A2A" w14:textId="08BE308F" w:rsidR="00731371" w:rsidRPr="00E242D2" w:rsidRDefault="001B2D99"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25</w:t>
            </w:r>
          </w:p>
        </w:tc>
        <w:tc>
          <w:tcPr>
            <w:tcW w:w="1134" w:type="dxa"/>
            <w:tcBorders>
              <w:top w:val="nil"/>
              <w:left w:val="nil"/>
              <w:bottom w:val="dotted" w:sz="4" w:space="0" w:color="auto"/>
              <w:right w:val="dotted" w:sz="4" w:space="0" w:color="auto"/>
            </w:tcBorders>
            <w:shd w:val="clear" w:color="000000" w:fill="F2F2F2"/>
            <w:noWrap/>
            <w:vAlign w:val="center"/>
          </w:tcPr>
          <w:p w14:paraId="67E554ED" w14:textId="0359A4C3" w:rsidR="00731371" w:rsidRPr="00E242D2" w:rsidRDefault="001B2D99"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r>
      <w:tr w:rsidR="00731371" w:rsidRPr="00E242D2" w14:paraId="0FEB5FCB"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41172E5D" w14:textId="3086F34C" w:rsidR="00731371" w:rsidRPr="00E242D2" w:rsidRDefault="00A41739"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[800270] Notes - Management-defined performance measures</w:t>
            </w:r>
          </w:p>
        </w:tc>
        <w:tc>
          <w:tcPr>
            <w:tcW w:w="1276" w:type="dxa"/>
            <w:tcBorders>
              <w:top w:val="nil"/>
              <w:left w:val="nil"/>
              <w:bottom w:val="dotted" w:sz="4" w:space="0" w:color="auto"/>
              <w:right w:val="dotted" w:sz="4" w:space="0" w:color="auto"/>
            </w:tcBorders>
            <w:shd w:val="clear" w:color="000000" w:fill="F2F2F2"/>
            <w:vAlign w:val="center"/>
          </w:tcPr>
          <w:p w14:paraId="315A7BF4" w14:textId="470AE8F0" w:rsidR="00731371" w:rsidRPr="00E242D2" w:rsidRDefault="00A41739"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Added</w:t>
            </w:r>
          </w:p>
        </w:tc>
        <w:tc>
          <w:tcPr>
            <w:tcW w:w="992" w:type="dxa"/>
            <w:tcBorders>
              <w:top w:val="nil"/>
              <w:left w:val="nil"/>
              <w:bottom w:val="dotted" w:sz="4" w:space="0" w:color="auto"/>
              <w:right w:val="dotted" w:sz="4" w:space="0" w:color="auto"/>
            </w:tcBorders>
            <w:shd w:val="clear" w:color="000000" w:fill="F2F2F2"/>
            <w:vAlign w:val="center"/>
          </w:tcPr>
          <w:p w14:paraId="77521521" w14:textId="102F5933" w:rsidR="00731371" w:rsidRPr="00E242D2" w:rsidRDefault="00861A09"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34</w:t>
            </w:r>
          </w:p>
        </w:tc>
        <w:tc>
          <w:tcPr>
            <w:tcW w:w="1134" w:type="dxa"/>
            <w:tcBorders>
              <w:top w:val="nil"/>
              <w:left w:val="nil"/>
              <w:bottom w:val="dotted" w:sz="4" w:space="0" w:color="auto"/>
              <w:right w:val="dotted" w:sz="4" w:space="0" w:color="auto"/>
            </w:tcBorders>
            <w:shd w:val="clear" w:color="000000" w:fill="F2F2F2"/>
            <w:noWrap/>
            <w:vAlign w:val="center"/>
          </w:tcPr>
          <w:p w14:paraId="23019CDC" w14:textId="037DB5DA" w:rsidR="00731371" w:rsidRPr="00E242D2" w:rsidRDefault="00861A09"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r>
      <w:tr w:rsidR="00AC58D2" w:rsidRPr="00E242D2" w14:paraId="325F17B0"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60C2F986" w14:textId="11466CDF" w:rsidR="00AC58D2" w:rsidRPr="00E242D2" w:rsidRDefault="00AC58D2"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[800300] Notes - Statement of cash flows, additional disclosures</w:t>
            </w:r>
          </w:p>
        </w:tc>
        <w:tc>
          <w:tcPr>
            <w:tcW w:w="1276" w:type="dxa"/>
            <w:tcBorders>
              <w:top w:val="nil"/>
              <w:left w:val="nil"/>
              <w:bottom w:val="dotted" w:sz="4" w:space="0" w:color="auto"/>
              <w:right w:val="dotted" w:sz="4" w:space="0" w:color="auto"/>
            </w:tcBorders>
            <w:shd w:val="clear" w:color="000000" w:fill="F2F2F2"/>
            <w:vAlign w:val="center"/>
          </w:tcPr>
          <w:p w14:paraId="32EB762D" w14:textId="662F44F0" w:rsidR="00AC58D2" w:rsidRPr="00E242D2" w:rsidRDefault="00AC58D2"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0E2176CA" w14:textId="60755A1A" w:rsidR="00AC58D2" w:rsidRPr="00E242D2" w:rsidRDefault="00861A09"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2</w:t>
            </w:r>
          </w:p>
        </w:tc>
        <w:tc>
          <w:tcPr>
            <w:tcW w:w="1134" w:type="dxa"/>
            <w:tcBorders>
              <w:top w:val="nil"/>
              <w:left w:val="nil"/>
              <w:bottom w:val="dotted" w:sz="4" w:space="0" w:color="auto"/>
              <w:right w:val="dotted" w:sz="4" w:space="0" w:color="auto"/>
            </w:tcBorders>
            <w:shd w:val="clear" w:color="000000" w:fill="F2F2F2"/>
            <w:noWrap/>
            <w:vAlign w:val="center"/>
          </w:tcPr>
          <w:p w14:paraId="34D6E013" w14:textId="76417F78" w:rsidR="00AC58D2" w:rsidRPr="00E242D2" w:rsidRDefault="00861A09"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6</w:t>
            </w:r>
          </w:p>
        </w:tc>
      </w:tr>
      <w:tr w:rsidR="006C4B67" w:rsidRPr="00E242D2" w14:paraId="210D9DAF"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0DC7C77E" w14:textId="174F7AEB" w:rsidR="006C4B67" w:rsidRPr="00E242D2" w:rsidRDefault="00AC58D2"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[800500] Notes - List of notes</w:t>
            </w:r>
          </w:p>
        </w:tc>
        <w:tc>
          <w:tcPr>
            <w:tcW w:w="1276" w:type="dxa"/>
            <w:tcBorders>
              <w:top w:val="nil"/>
              <w:left w:val="nil"/>
              <w:bottom w:val="dotted" w:sz="4" w:space="0" w:color="auto"/>
              <w:right w:val="dotted" w:sz="4" w:space="0" w:color="auto"/>
            </w:tcBorders>
            <w:shd w:val="clear" w:color="000000" w:fill="F2F2F2"/>
            <w:vAlign w:val="center"/>
          </w:tcPr>
          <w:p w14:paraId="443CE678" w14:textId="74D9E4E6" w:rsidR="006C4B67" w:rsidRPr="00E242D2" w:rsidRDefault="00AC58D2"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6F625E2F" w14:textId="630E417D" w:rsidR="006C4B67" w:rsidRPr="00E242D2" w:rsidRDefault="006C4B67"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w:t>
            </w:r>
          </w:p>
        </w:tc>
        <w:tc>
          <w:tcPr>
            <w:tcW w:w="1134" w:type="dxa"/>
            <w:tcBorders>
              <w:top w:val="nil"/>
              <w:left w:val="nil"/>
              <w:bottom w:val="dotted" w:sz="4" w:space="0" w:color="auto"/>
              <w:right w:val="dotted" w:sz="4" w:space="0" w:color="auto"/>
            </w:tcBorders>
            <w:shd w:val="clear" w:color="000000" w:fill="F2F2F2"/>
            <w:noWrap/>
            <w:vAlign w:val="center"/>
          </w:tcPr>
          <w:p w14:paraId="2BC4340D" w14:textId="2266F694" w:rsidR="006C4B67" w:rsidRPr="00E242D2" w:rsidRDefault="006C4B67"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7</w:t>
            </w:r>
          </w:p>
        </w:tc>
      </w:tr>
      <w:tr w:rsidR="000D2C74" w:rsidRPr="00E242D2" w14:paraId="48C894D7"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7C56F2B3" w14:textId="05532C67" w:rsidR="000D2C74" w:rsidRPr="00E242D2" w:rsidRDefault="006C4B67"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[800610] Notes - List of material accounting policy information</w:t>
            </w:r>
          </w:p>
        </w:tc>
        <w:tc>
          <w:tcPr>
            <w:tcW w:w="1276" w:type="dxa"/>
            <w:tcBorders>
              <w:top w:val="nil"/>
              <w:left w:val="nil"/>
              <w:bottom w:val="dotted" w:sz="4" w:space="0" w:color="auto"/>
              <w:right w:val="dotted" w:sz="4" w:space="0" w:color="auto"/>
            </w:tcBorders>
            <w:shd w:val="clear" w:color="000000" w:fill="F2F2F2"/>
            <w:vAlign w:val="center"/>
          </w:tcPr>
          <w:p w14:paraId="2EA9A780" w14:textId="12ECA4F4" w:rsidR="000D2C74" w:rsidRPr="00E242D2" w:rsidRDefault="006C4B67"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3D8BB7AF" w14:textId="1B80CF0D" w:rsidR="000D2C74" w:rsidRPr="00E242D2" w:rsidRDefault="006C4B67"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c>
          <w:tcPr>
            <w:tcW w:w="1134" w:type="dxa"/>
            <w:tcBorders>
              <w:top w:val="nil"/>
              <w:left w:val="nil"/>
              <w:bottom w:val="dotted" w:sz="4" w:space="0" w:color="auto"/>
              <w:right w:val="dotted" w:sz="4" w:space="0" w:color="auto"/>
            </w:tcBorders>
            <w:shd w:val="clear" w:color="000000" w:fill="F2F2F2"/>
            <w:noWrap/>
            <w:vAlign w:val="center"/>
          </w:tcPr>
          <w:p w14:paraId="34129AC7" w14:textId="3793F838" w:rsidR="000D2C74" w:rsidRPr="00E242D2" w:rsidRDefault="006C4B67"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5</w:t>
            </w:r>
          </w:p>
        </w:tc>
      </w:tr>
      <w:tr w:rsidR="004415AC" w:rsidRPr="00E242D2" w14:paraId="54762624"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50732652" w14:textId="1CF4F8AC" w:rsidR="004415AC" w:rsidRPr="00E242D2" w:rsidRDefault="004D373B" w:rsidP="00BF3B2C">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[810000] Notes - Corporate information</w:t>
            </w:r>
          </w:p>
        </w:tc>
        <w:tc>
          <w:tcPr>
            <w:tcW w:w="1276" w:type="dxa"/>
            <w:tcBorders>
              <w:top w:val="nil"/>
              <w:left w:val="nil"/>
              <w:bottom w:val="dotted" w:sz="4" w:space="0" w:color="auto"/>
              <w:right w:val="dotted" w:sz="4" w:space="0" w:color="auto"/>
            </w:tcBorders>
            <w:shd w:val="clear" w:color="000000" w:fill="F2F2F2"/>
            <w:vAlign w:val="center"/>
          </w:tcPr>
          <w:p w14:paraId="6C91EF9A" w14:textId="4FA703FC" w:rsidR="004415AC" w:rsidRPr="00E242D2" w:rsidRDefault="004D373B"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35A1E2A7" w14:textId="10A3BD60" w:rsidR="004415AC" w:rsidRPr="00E242D2" w:rsidRDefault="000D2C74"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15</w:t>
            </w:r>
          </w:p>
        </w:tc>
        <w:tc>
          <w:tcPr>
            <w:tcW w:w="1134" w:type="dxa"/>
            <w:tcBorders>
              <w:top w:val="nil"/>
              <w:left w:val="nil"/>
              <w:bottom w:val="dotted" w:sz="4" w:space="0" w:color="auto"/>
              <w:right w:val="dotted" w:sz="4" w:space="0" w:color="auto"/>
            </w:tcBorders>
            <w:shd w:val="clear" w:color="000000" w:fill="F2F2F2"/>
            <w:noWrap/>
            <w:vAlign w:val="center"/>
          </w:tcPr>
          <w:p w14:paraId="1E80F650" w14:textId="2555ED2B" w:rsidR="004415AC" w:rsidRPr="00E242D2" w:rsidRDefault="004D373B" w:rsidP="00BF3B2C">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27</w:t>
            </w:r>
          </w:p>
        </w:tc>
      </w:tr>
      <w:tr w:rsidR="00ED19C0" w:rsidRPr="00E242D2" w14:paraId="7AED351D" w14:textId="77777777" w:rsidTr="00BF3B2C">
        <w:trPr>
          <w:trHeight w:val="315"/>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7BCC0E7D" w14:textId="3B34EF12" w:rsidR="00ED19C0" w:rsidRPr="00E242D2" w:rsidRDefault="00ED19C0" w:rsidP="00ED19C0">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 xml:space="preserve">[811000] </w:t>
            </w:r>
            <w:r w:rsidR="004415AC" w:rsidRPr="00E242D2">
              <w:rPr>
                <w:rFonts w:asciiTheme="minorHAnsi" w:eastAsia="Times New Roman" w:hAnsiTheme="minorHAnsi" w:cstheme="minorHAnsi"/>
                <w:color w:val="575756"/>
                <w:sz w:val="18"/>
                <w:szCs w:val="18"/>
                <w:lang w:eastAsia="pl-PL" w:bidi="ar-SA"/>
              </w:rPr>
              <w:t xml:space="preserve">Notes - Basis of preparation of financial statements and </w:t>
            </w:r>
            <w:proofErr w:type="gramStart"/>
            <w:r w:rsidR="004415AC" w:rsidRPr="00E242D2">
              <w:rPr>
                <w:rFonts w:asciiTheme="minorHAnsi" w:eastAsia="Times New Roman" w:hAnsiTheme="minorHAnsi" w:cstheme="minorHAnsi"/>
                <w:color w:val="575756"/>
                <w:sz w:val="18"/>
                <w:szCs w:val="18"/>
                <w:lang w:eastAsia="pl-PL" w:bidi="ar-SA"/>
              </w:rPr>
              <w:t>statement</w:t>
            </w:r>
            <w:proofErr w:type="gramEnd"/>
            <w:r w:rsidR="004415AC" w:rsidRPr="00E242D2">
              <w:rPr>
                <w:rFonts w:asciiTheme="minorHAnsi" w:eastAsia="Times New Roman" w:hAnsiTheme="minorHAnsi" w:cstheme="minorHAnsi"/>
                <w:color w:val="575756"/>
                <w:sz w:val="18"/>
                <w:szCs w:val="18"/>
                <w:lang w:eastAsia="pl-PL" w:bidi="ar-SA"/>
              </w:rPr>
              <w:t xml:space="preserve"> of IFRS compliance</w:t>
            </w:r>
          </w:p>
        </w:tc>
        <w:tc>
          <w:tcPr>
            <w:tcW w:w="1276" w:type="dxa"/>
            <w:tcBorders>
              <w:top w:val="nil"/>
              <w:left w:val="nil"/>
              <w:bottom w:val="dotted" w:sz="4" w:space="0" w:color="auto"/>
              <w:right w:val="dotted" w:sz="4" w:space="0" w:color="auto"/>
            </w:tcBorders>
            <w:shd w:val="clear" w:color="000000" w:fill="F2F2F2"/>
            <w:vAlign w:val="center"/>
          </w:tcPr>
          <w:p w14:paraId="5E54D74E" w14:textId="39B39478" w:rsidR="00ED19C0" w:rsidRPr="00E242D2" w:rsidRDefault="00ED19C0"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 Updated</w:t>
            </w:r>
          </w:p>
        </w:tc>
        <w:tc>
          <w:tcPr>
            <w:tcW w:w="992" w:type="dxa"/>
            <w:tcBorders>
              <w:top w:val="nil"/>
              <w:left w:val="nil"/>
              <w:bottom w:val="dotted" w:sz="4" w:space="0" w:color="auto"/>
              <w:right w:val="dotted" w:sz="4" w:space="0" w:color="auto"/>
            </w:tcBorders>
            <w:shd w:val="clear" w:color="000000" w:fill="F2F2F2"/>
            <w:vAlign w:val="center"/>
          </w:tcPr>
          <w:p w14:paraId="77D4BBF3" w14:textId="17D6AD59" w:rsidR="00ED19C0" w:rsidRPr="00E242D2" w:rsidRDefault="007458A6"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35</w:t>
            </w:r>
          </w:p>
        </w:tc>
        <w:tc>
          <w:tcPr>
            <w:tcW w:w="1134" w:type="dxa"/>
            <w:tcBorders>
              <w:top w:val="nil"/>
              <w:left w:val="nil"/>
              <w:bottom w:val="dotted" w:sz="4" w:space="0" w:color="auto"/>
              <w:right w:val="dotted" w:sz="4" w:space="0" w:color="auto"/>
            </w:tcBorders>
            <w:shd w:val="clear" w:color="000000" w:fill="F2F2F2"/>
            <w:noWrap/>
            <w:vAlign w:val="center"/>
          </w:tcPr>
          <w:p w14:paraId="373B59B5" w14:textId="1BD03342" w:rsidR="00ED19C0" w:rsidRPr="00E242D2" w:rsidRDefault="007458A6"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3</w:t>
            </w:r>
          </w:p>
        </w:tc>
      </w:tr>
      <w:tr w:rsidR="00ED19C0" w:rsidRPr="00E242D2" w14:paraId="4816199F" w14:textId="77777777" w:rsidTr="00BF3B2C">
        <w:trPr>
          <w:trHeight w:val="300"/>
        </w:trPr>
        <w:tc>
          <w:tcPr>
            <w:tcW w:w="5528" w:type="dxa"/>
            <w:tcBorders>
              <w:top w:val="nil"/>
              <w:left w:val="dotted" w:sz="4" w:space="0" w:color="auto"/>
              <w:bottom w:val="dotted" w:sz="4" w:space="0" w:color="auto"/>
              <w:right w:val="dotted" w:sz="4" w:space="0" w:color="auto"/>
            </w:tcBorders>
            <w:shd w:val="clear" w:color="000000" w:fill="F2F2F2"/>
            <w:noWrap/>
            <w:vAlign w:val="center"/>
            <w:hideMark/>
          </w:tcPr>
          <w:p w14:paraId="1FB2724C" w14:textId="545DF781" w:rsidR="00ED19C0" w:rsidRPr="00E242D2" w:rsidRDefault="00ED19C0" w:rsidP="00ED19C0">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[822390] Notes - Financial instruments</w:t>
            </w:r>
          </w:p>
        </w:tc>
        <w:tc>
          <w:tcPr>
            <w:tcW w:w="1276" w:type="dxa"/>
            <w:tcBorders>
              <w:top w:val="nil"/>
              <w:left w:val="nil"/>
              <w:bottom w:val="dotted" w:sz="4" w:space="0" w:color="auto"/>
              <w:right w:val="dotted" w:sz="4" w:space="0" w:color="auto"/>
            </w:tcBorders>
            <w:shd w:val="clear" w:color="000000" w:fill="F2F2F2"/>
            <w:vAlign w:val="center"/>
            <w:hideMark/>
          </w:tcPr>
          <w:p w14:paraId="1BD79BE9" w14:textId="77777777" w:rsidR="00ED19C0" w:rsidRPr="00E242D2" w:rsidRDefault="00ED19C0"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hideMark/>
          </w:tcPr>
          <w:p w14:paraId="39850C5E" w14:textId="4E09430C" w:rsidR="00ED19C0" w:rsidRPr="00E242D2" w:rsidRDefault="00ED19C0"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11</w:t>
            </w:r>
            <w:r w:rsidR="0004240B" w:rsidRPr="00E242D2">
              <w:rPr>
                <w:rFonts w:asciiTheme="minorHAnsi" w:eastAsia="Times New Roman" w:hAnsiTheme="minorHAnsi" w:cstheme="minorHAnsi"/>
                <w:color w:val="575756"/>
                <w:sz w:val="18"/>
                <w:szCs w:val="18"/>
                <w:lang w:eastAsia="pl-PL" w:bidi="ar-SA"/>
              </w:rPr>
              <w:t>4</w:t>
            </w:r>
          </w:p>
        </w:tc>
        <w:tc>
          <w:tcPr>
            <w:tcW w:w="1134" w:type="dxa"/>
            <w:tcBorders>
              <w:top w:val="nil"/>
              <w:left w:val="nil"/>
              <w:bottom w:val="dotted" w:sz="4" w:space="0" w:color="auto"/>
              <w:right w:val="dotted" w:sz="4" w:space="0" w:color="auto"/>
            </w:tcBorders>
            <w:shd w:val="clear" w:color="000000" w:fill="F2F2F2"/>
            <w:noWrap/>
            <w:vAlign w:val="center"/>
            <w:hideMark/>
          </w:tcPr>
          <w:p w14:paraId="40383A01" w14:textId="6A27DF18" w:rsidR="00ED19C0" w:rsidRPr="00E242D2" w:rsidRDefault="00ED19C0"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5</w:t>
            </w:r>
          </w:p>
        </w:tc>
      </w:tr>
      <w:tr w:rsidR="00ED19C0" w:rsidRPr="00E242D2" w14:paraId="620FBEC0" w14:textId="77777777" w:rsidTr="00BF3B2C">
        <w:trPr>
          <w:trHeight w:val="300"/>
        </w:trPr>
        <w:tc>
          <w:tcPr>
            <w:tcW w:w="5528" w:type="dxa"/>
            <w:tcBorders>
              <w:top w:val="nil"/>
              <w:left w:val="dotted" w:sz="4" w:space="0" w:color="auto"/>
              <w:bottom w:val="dotted" w:sz="4" w:space="0" w:color="auto"/>
              <w:right w:val="dotted" w:sz="4" w:space="0" w:color="auto"/>
            </w:tcBorders>
            <w:shd w:val="clear" w:color="000000" w:fill="F2F2F2"/>
            <w:noWrap/>
            <w:vAlign w:val="center"/>
            <w:hideMark/>
          </w:tcPr>
          <w:p w14:paraId="12E1B9C3" w14:textId="746315AA" w:rsidR="00ED19C0" w:rsidRPr="00E242D2" w:rsidRDefault="00ED19C0" w:rsidP="00ED19C0">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[834480] Notes - Employee benefits</w:t>
            </w:r>
          </w:p>
        </w:tc>
        <w:tc>
          <w:tcPr>
            <w:tcW w:w="1276" w:type="dxa"/>
            <w:tcBorders>
              <w:top w:val="nil"/>
              <w:left w:val="nil"/>
              <w:bottom w:val="dotted" w:sz="4" w:space="0" w:color="auto"/>
              <w:right w:val="dotted" w:sz="4" w:space="0" w:color="auto"/>
            </w:tcBorders>
            <w:shd w:val="clear" w:color="000000" w:fill="F2F2F2"/>
            <w:vAlign w:val="center"/>
            <w:hideMark/>
          </w:tcPr>
          <w:p w14:paraId="78A02EE0" w14:textId="77777777" w:rsidR="00ED19C0" w:rsidRPr="00E242D2" w:rsidRDefault="00ED19C0"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hideMark/>
          </w:tcPr>
          <w:p w14:paraId="34333AB1" w14:textId="316B1721" w:rsidR="00ED19C0" w:rsidRPr="00E242D2" w:rsidRDefault="00551E0C"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25</w:t>
            </w:r>
          </w:p>
        </w:tc>
        <w:tc>
          <w:tcPr>
            <w:tcW w:w="1134" w:type="dxa"/>
            <w:tcBorders>
              <w:top w:val="nil"/>
              <w:left w:val="nil"/>
              <w:bottom w:val="dotted" w:sz="4" w:space="0" w:color="auto"/>
              <w:right w:val="dotted" w:sz="4" w:space="0" w:color="auto"/>
            </w:tcBorders>
            <w:shd w:val="clear" w:color="000000" w:fill="F2F2F2"/>
            <w:noWrap/>
            <w:vAlign w:val="center"/>
            <w:hideMark/>
          </w:tcPr>
          <w:p w14:paraId="2C5F60C2" w14:textId="1AEC9D18" w:rsidR="00ED19C0" w:rsidRPr="00E242D2" w:rsidRDefault="00ED19C0"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9</w:t>
            </w:r>
          </w:p>
        </w:tc>
      </w:tr>
      <w:tr w:rsidR="004B39CC" w:rsidRPr="00E242D2" w14:paraId="24E3BD50" w14:textId="77777777" w:rsidTr="00BF3B2C">
        <w:trPr>
          <w:trHeight w:val="300"/>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472F7F7D" w14:textId="29D3071D" w:rsidR="004B39CC" w:rsidRPr="00E242D2" w:rsidRDefault="00850444" w:rsidP="00ED19C0">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[861000] Notes - Analysis of other comprehensive income by item</w:t>
            </w:r>
          </w:p>
        </w:tc>
        <w:tc>
          <w:tcPr>
            <w:tcW w:w="1276" w:type="dxa"/>
            <w:tcBorders>
              <w:top w:val="nil"/>
              <w:left w:val="nil"/>
              <w:bottom w:val="dotted" w:sz="4" w:space="0" w:color="auto"/>
              <w:right w:val="dotted" w:sz="4" w:space="0" w:color="auto"/>
            </w:tcBorders>
            <w:shd w:val="clear" w:color="000000" w:fill="F2F2F2"/>
            <w:vAlign w:val="center"/>
          </w:tcPr>
          <w:p w14:paraId="043AA9A4" w14:textId="3CA29180" w:rsidR="004B39CC" w:rsidRPr="00E242D2" w:rsidRDefault="004B39CC"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598ABA24" w14:textId="43B4A860" w:rsidR="004B39CC" w:rsidRPr="00E242D2" w:rsidRDefault="004B39CC"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c>
          <w:tcPr>
            <w:tcW w:w="1134" w:type="dxa"/>
            <w:tcBorders>
              <w:top w:val="nil"/>
              <w:left w:val="nil"/>
              <w:bottom w:val="dotted" w:sz="4" w:space="0" w:color="auto"/>
              <w:right w:val="dotted" w:sz="4" w:space="0" w:color="auto"/>
            </w:tcBorders>
            <w:shd w:val="clear" w:color="000000" w:fill="F2F2F2"/>
            <w:noWrap/>
            <w:vAlign w:val="center"/>
          </w:tcPr>
          <w:p w14:paraId="3A13CE72" w14:textId="04AC52A8" w:rsidR="004B39CC" w:rsidRPr="00E242D2" w:rsidRDefault="004B39CC"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w:t>
            </w:r>
          </w:p>
        </w:tc>
      </w:tr>
      <w:tr w:rsidR="00ED19C0" w:rsidRPr="00E242D2" w14:paraId="7FC84A13" w14:textId="77777777" w:rsidTr="00BF3B2C">
        <w:trPr>
          <w:trHeight w:val="300"/>
        </w:trPr>
        <w:tc>
          <w:tcPr>
            <w:tcW w:w="5528" w:type="dxa"/>
            <w:tcBorders>
              <w:top w:val="nil"/>
              <w:left w:val="dotted" w:sz="4" w:space="0" w:color="auto"/>
              <w:bottom w:val="dotted" w:sz="4" w:space="0" w:color="auto"/>
              <w:right w:val="dotted" w:sz="4" w:space="0" w:color="auto"/>
            </w:tcBorders>
            <w:shd w:val="clear" w:color="000000" w:fill="F2F2F2"/>
            <w:noWrap/>
            <w:vAlign w:val="center"/>
            <w:hideMark/>
          </w:tcPr>
          <w:p w14:paraId="1115C882" w14:textId="4B39E335" w:rsidR="00ED19C0" w:rsidRPr="00E242D2" w:rsidRDefault="00ED19C0" w:rsidP="00ED19C0">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[890000] Notes - Subsidiaries without public accountability</w:t>
            </w:r>
          </w:p>
        </w:tc>
        <w:tc>
          <w:tcPr>
            <w:tcW w:w="1276" w:type="dxa"/>
            <w:tcBorders>
              <w:top w:val="nil"/>
              <w:left w:val="nil"/>
              <w:bottom w:val="dotted" w:sz="4" w:space="0" w:color="auto"/>
              <w:right w:val="dotted" w:sz="4" w:space="0" w:color="auto"/>
            </w:tcBorders>
            <w:shd w:val="clear" w:color="000000" w:fill="F2F2F2"/>
            <w:vAlign w:val="center"/>
            <w:hideMark/>
          </w:tcPr>
          <w:p w14:paraId="0BB9E744" w14:textId="013F3C91" w:rsidR="00ED19C0" w:rsidRPr="00E242D2" w:rsidRDefault="00731371"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A</w:t>
            </w:r>
            <w:r w:rsidR="00ED19C0" w:rsidRPr="00E242D2">
              <w:rPr>
                <w:rFonts w:asciiTheme="minorHAnsi" w:eastAsia="Times New Roman" w:hAnsiTheme="minorHAnsi" w:cstheme="minorHAnsi"/>
                <w:color w:val="575756"/>
                <w:sz w:val="18"/>
                <w:szCs w:val="18"/>
                <w:lang w:eastAsia="pl-PL" w:bidi="ar-SA"/>
              </w:rPr>
              <w:t>dded</w:t>
            </w:r>
          </w:p>
        </w:tc>
        <w:tc>
          <w:tcPr>
            <w:tcW w:w="992" w:type="dxa"/>
            <w:tcBorders>
              <w:top w:val="nil"/>
              <w:left w:val="nil"/>
              <w:bottom w:val="dotted" w:sz="4" w:space="0" w:color="auto"/>
              <w:right w:val="dotted" w:sz="4" w:space="0" w:color="auto"/>
            </w:tcBorders>
            <w:shd w:val="clear" w:color="000000" w:fill="F2F2F2"/>
            <w:vAlign w:val="center"/>
            <w:hideMark/>
          </w:tcPr>
          <w:p w14:paraId="75E9CC7A" w14:textId="616C6DAD" w:rsidR="00ED19C0" w:rsidRPr="00E242D2" w:rsidRDefault="00ED19C0"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4</w:t>
            </w:r>
            <w:r w:rsidR="007637E4" w:rsidRPr="00E242D2">
              <w:rPr>
                <w:rFonts w:asciiTheme="minorHAnsi" w:eastAsia="Times New Roman" w:hAnsiTheme="minorHAnsi" w:cstheme="minorHAnsi"/>
                <w:color w:val="575756"/>
                <w:sz w:val="18"/>
                <w:szCs w:val="18"/>
                <w:lang w:eastAsia="pl-PL" w:bidi="ar-SA"/>
              </w:rPr>
              <w:t>2</w:t>
            </w:r>
          </w:p>
        </w:tc>
        <w:tc>
          <w:tcPr>
            <w:tcW w:w="1134" w:type="dxa"/>
            <w:tcBorders>
              <w:top w:val="nil"/>
              <w:left w:val="nil"/>
              <w:bottom w:val="dotted" w:sz="4" w:space="0" w:color="auto"/>
              <w:right w:val="dotted" w:sz="4" w:space="0" w:color="auto"/>
            </w:tcBorders>
            <w:shd w:val="clear" w:color="000000" w:fill="F2F2F2"/>
            <w:noWrap/>
            <w:vAlign w:val="center"/>
            <w:hideMark/>
          </w:tcPr>
          <w:p w14:paraId="25566E0A" w14:textId="77777777" w:rsidR="00ED19C0" w:rsidRPr="00E242D2" w:rsidRDefault="00ED19C0"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r>
      <w:tr w:rsidR="00F56DA8" w:rsidRPr="00E242D2" w14:paraId="31D0CC57" w14:textId="77777777" w:rsidTr="00BF3B2C">
        <w:trPr>
          <w:trHeight w:val="300"/>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6774239C" w14:textId="7642D62C" w:rsidR="00F56DA8" w:rsidRPr="00E242D2" w:rsidRDefault="00F56DA8" w:rsidP="00ED19C0">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 xml:space="preserve">[990000] Axis </w:t>
            </w:r>
            <w:r w:rsidR="008F357B" w:rsidRPr="00E242D2">
              <w:rPr>
                <w:rFonts w:asciiTheme="minorHAnsi" w:eastAsia="Times New Roman" w:hAnsiTheme="minorHAnsi" w:cstheme="minorHAnsi"/>
                <w:color w:val="575756"/>
                <w:sz w:val="18"/>
                <w:szCs w:val="18"/>
                <w:lang w:eastAsia="pl-PL" w:bidi="ar-SA"/>
              </w:rPr>
              <w:t>–</w:t>
            </w:r>
            <w:r w:rsidRPr="00E242D2">
              <w:rPr>
                <w:rFonts w:asciiTheme="minorHAnsi" w:eastAsia="Times New Roman" w:hAnsiTheme="minorHAnsi" w:cstheme="minorHAnsi"/>
                <w:color w:val="575756"/>
                <w:sz w:val="18"/>
                <w:szCs w:val="18"/>
                <w:lang w:eastAsia="pl-PL" w:bidi="ar-SA"/>
              </w:rPr>
              <w:t xml:space="preserve"> Defaults</w:t>
            </w:r>
          </w:p>
        </w:tc>
        <w:tc>
          <w:tcPr>
            <w:tcW w:w="1276" w:type="dxa"/>
            <w:tcBorders>
              <w:top w:val="nil"/>
              <w:left w:val="nil"/>
              <w:bottom w:val="dotted" w:sz="4" w:space="0" w:color="auto"/>
              <w:right w:val="dotted" w:sz="4" w:space="0" w:color="auto"/>
            </w:tcBorders>
            <w:shd w:val="clear" w:color="000000" w:fill="F2F2F2"/>
            <w:vAlign w:val="center"/>
          </w:tcPr>
          <w:p w14:paraId="6D86F7E1" w14:textId="316EE567" w:rsidR="00F56DA8" w:rsidRPr="00E242D2" w:rsidRDefault="00F56DA8"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6DE05544" w14:textId="1C8CF141" w:rsidR="00F56DA8" w:rsidRPr="00E242D2" w:rsidRDefault="00971B65"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12</w:t>
            </w:r>
          </w:p>
        </w:tc>
        <w:tc>
          <w:tcPr>
            <w:tcW w:w="1134" w:type="dxa"/>
            <w:tcBorders>
              <w:top w:val="nil"/>
              <w:left w:val="nil"/>
              <w:bottom w:val="dotted" w:sz="4" w:space="0" w:color="auto"/>
              <w:right w:val="dotted" w:sz="4" w:space="0" w:color="auto"/>
            </w:tcBorders>
            <w:shd w:val="clear" w:color="000000" w:fill="F2F2F2"/>
            <w:noWrap/>
            <w:vAlign w:val="center"/>
          </w:tcPr>
          <w:p w14:paraId="52340C83" w14:textId="46216DBC" w:rsidR="00F56DA8" w:rsidRPr="00E242D2" w:rsidRDefault="004904A4"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1</w:t>
            </w:r>
          </w:p>
        </w:tc>
      </w:tr>
      <w:tr w:rsidR="00C770E7" w:rsidRPr="00E242D2" w14:paraId="55AB1834" w14:textId="77777777" w:rsidTr="00BF3B2C">
        <w:trPr>
          <w:trHeight w:val="300"/>
        </w:trPr>
        <w:tc>
          <w:tcPr>
            <w:tcW w:w="5528" w:type="dxa"/>
            <w:tcBorders>
              <w:top w:val="nil"/>
              <w:left w:val="dotted" w:sz="4" w:space="0" w:color="auto"/>
              <w:bottom w:val="dotted" w:sz="4" w:space="0" w:color="auto"/>
              <w:right w:val="dotted" w:sz="4" w:space="0" w:color="auto"/>
            </w:tcBorders>
            <w:shd w:val="clear" w:color="000000" w:fill="F2F2F2"/>
            <w:noWrap/>
            <w:vAlign w:val="center"/>
          </w:tcPr>
          <w:p w14:paraId="3EE14D56" w14:textId="403D3223" w:rsidR="00C770E7" w:rsidRPr="00E242D2" w:rsidRDefault="00F56DA8" w:rsidP="00ED19C0">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[995000] Extensible enumeration domain members</w:t>
            </w:r>
          </w:p>
        </w:tc>
        <w:tc>
          <w:tcPr>
            <w:tcW w:w="1276" w:type="dxa"/>
            <w:tcBorders>
              <w:top w:val="nil"/>
              <w:left w:val="nil"/>
              <w:bottom w:val="dotted" w:sz="4" w:space="0" w:color="auto"/>
              <w:right w:val="dotted" w:sz="4" w:space="0" w:color="auto"/>
            </w:tcBorders>
            <w:shd w:val="clear" w:color="000000" w:fill="F2F2F2"/>
            <w:vAlign w:val="center"/>
          </w:tcPr>
          <w:p w14:paraId="6460C42A" w14:textId="2327C7D3" w:rsidR="00C770E7" w:rsidRPr="00E242D2" w:rsidRDefault="00F56DA8"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c>
          <w:tcPr>
            <w:tcW w:w="992" w:type="dxa"/>
            <w:tcBorders>
              <w:top w:val="nil"/>
              <w:left w:val="nil"/>
              <w:bottom w:val="dotted" w:sz="4" w:space="0" w:color="auto"/>
              <w:right w:val="dotted" w:sz="4" w:space="0" w:color="auto"/>
            </w:tcBorders>
            <w:shd w:val="clear" w:color="000000" w:fill="F2F2F2"/>
            <w:vAlign w:val="center"/>
          </w:tcPr>
          <w:p w14:paraId="6F527CFC" w14:textId="13229586" w:rsidR="00C770E7" w:rsidRPr="00E242D2" w:rsidRDefault="00971B65"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6</w:t>
            </w:r>
          </w:p>
        </w:tc>
        <w:tc>
          <w:tcPr>
            <w:tcW w:w="1134" w:type="dxa"/>
            <w:tcBorders>
              <w:top w:val="nil"/>
              <w:left w:val="nil"/>
              <w:bottom w:val="dotted" w:sz="4" w:space="0" w:color="auto"/>
              <w:right w:val="dotted" w:sz="4" w:space="0" w:color="auto"/>
            </w:tcBorders>
            <w:shd w:val="clear" w:color="000000" w:fill="F2F2F2"/>
            <w:noWrap/>
            <w:vAlign w:val="center"/>
          </w:tcPr>
          <w:p w14:paraId="4A91C7CE" w14:textId="03188327" w:rsidR="00C770E7" w:rsidRPr="00E242D2" w:rsidRDefault="00F56DA8" w:rsidP="00ED19C0">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0</w:t>
            </w:r>
          </w:p>
        </w:tc>
      </w:tr>
    </w:tbl>
    <w:p w14:paraId="7157D72F" w14:textId="138E9CF3" w:rsidR="00966224" w:rsidRPr="00E242D2" w:rsidRDefault="00E22B51" w:rsidP="00966224">
      <w:pPr>
        <w:widowControl/>
        <w:autoSpaceDE/>
        <w:spacing w:after="240"/>
        <w:ind w:left="142"/>
        <w:rPr>
          <w:rFonts w:eastAsia="Times New Roman"/>
          <w:bCs/>
          <w:color w:val="FFFFFF" w:themeColor="text1"/>
          <w:sz w:val="18"/>
          <w:szCs w:val="18"/>
          <w:highlight w:val="yellow"/>
          <w:lang w:eastAsia="ja-JP" w:bidi="ar-SA"/>
        </w:rPr>
      </w:pPr>
      <w:r w:rsidRPr="00E242D2">
        <w:rPr>
          <w:rFonts w:eastAsia="Times New Roman"/>
          <w:bCs/>
          <w:color w:val="FFFFFF" w:themeColor="text1"/>
          <w:sz w:val="18"/>
          <w:szCs w:val="18"/>
          <w:highlight w:val="yellow"/>
          <w:lang w:eastAsia="ja-JP" w:bidi="ar-SA"/>
        </w:rPr>
        <w:br/>
      </w:r>
      <w:r w:rsidR="00966224" w:rsidRPr="00E242D2">
        <w:rPr>
          <w:color w:val="575756"/>
          <w:sz w:val="20"/>
        </w:rPr>
        <w:t xml:space="preserve">With the above changes 2 ELR’s names </w:t>
      </w:r>
      <w:r w:rsidR="0029009E" w:rsidRPr="00E242D2">
        <w:rPr>
          <w:color w:val="575756"/>
          <w:sz w:val="20"/>
        </w:rPr>
        <w:t>were</w:t>
      </w:r>
      <w:r w:rsidR="00966224" w:rsidRPr="00E242D2">
        <w:rPr>
          <w:color w:val="575756"/>
          <w:sz w:val="20"/>
        </w:rPr>
        <w:t xml:space="preserve"> updated:</w:t>
      </w:r>
    </w:p>
    <w:tbl>
      <w:tblPr>
        <w:tblW w:w="8930" w:type="dxa"/>
        <w:tblInd w:w="137" w:type="dxa"/>
        <w:tblCellMar>
          <w:left w:w="70" w:type="dxa"/>
          <w:right w:w="70" w:type="dxa"/>
        </w:tblCellMar>
        <w:tblLook w:val="04A0" w:firstRow="1" w:lastRow="0" w:firstColumn="1" w:lastColumn="0" w:noHBand="0" w:noVBand="1"/>
      </w:tblPr>
      <w:tblGrid>
        <w:gridCol w:w="7513"/>
        <w:gridCol w:w="1417"/>
      </w:tblGrid>
      <w:tr w:rsidR="00966224" w:rsidRPr="00E242D2" w14:paraId="08749794" w14:textId="77777777" w:rsidTr="00966224">
        <w:trPr>
          <w:trHeight w:val="802"/>
        </w:trPr>
        <w:tc>
          <w:tcPr>
            <w:tcW w:w="7513" w:type="dxa"/>
            <w:tcBorders>
              <w:top w:val="nil"/>
              <w:left w:val="dotted" w:sz="4" w:space="0" w:color="auto"/>
              <w:bottom w:val="single" w:sz="12" w:space="0" w:color="D3E8F9"/>
              <w:right w:val="nil"/>
            </w:tcBorders>
            <w:shd w:val="clear" w:color="000000" w:fill="3369A9"/>
            <w:noWrap/>
            <w:vAlign w:val="center"/>
            <w:hideMark/>
          </w:tcPr>
          <w:p w14:paraId="63CDC4BC" w14:textId="0C48EB21" w:rsidR="00966224" w:rsidRPr="00E242D2" w:rsidRDefault="00966224" w:rsidP="001A7244">
            <w:pPr>
              <w:widowControl/>
              <w:autoSpaceDE/>
              <w:autoSpaceDN/>
              <w:ind w:left="60"/>
              <w:jc w:val="both"/>
              <w:rPr>
                <w:rFonts w:asciiTheme="minorHAnsi" w:eastAsia="Times New Roman" w:hAnsiTheme="minorHAnsi" w:cstheme="minorHAnsi"/>
                <w:color w:val="FFFFFF"/>
                <w:sz w:val="18"/>
                <w:szCs w:val="18"/>
                <w:lang w:eastAsia="pl-PL" w:bidi="ar-SA"/>
              </w:rPr>
            </w:pPr>
            <w:r w:rsidRPr="00E242D2">
              <w:rPr>
                <w:rFonts w:asciiTheme="minorHAnsi" w:eastAsia="Times New Roman" w:hAnsiTheme="minorHAnsi" w:cstheme="minorHAnsi"/>
                <w:color w:val="FFFFFF"/>
                <w:sz w:val="18"/>
                <w:szCs w:val="18"/>
                <w:lang w:eastAsia="pl-PL" w:bidi="ar-SA"/>
              </w:rPr>
              <w:t>Extended link role names impacted by changes to 2025 IFRS Taxonomy</w:t>
            </w:r>
          </w:p>
        </w:tc>
        <w:tc>
          <w:tcPr>
            <w:tcW w:w="1417" w:type="dxa"/>
            <w:tcBorders>
              <w:top w:val="nil"/>
              <w:left w:val="nil"/>
              <w:bottom w:val="single" w:sz="12" w:space="0" w:color="D3E8F9"/>
              <w:right w:val="nil"/>
            </w:tcBorders>
            <w:shd w:val="clear" w:color="000000" w:fill="3369A9"/>
            <w:noWrap/>
            <w:vAlign w:val="center"/>
            <w:hideMark/>
          </w:tcPr>
          <w:p w14:paraId="68015243" w14:textId="77777777" w:rsidR="00966224" w:rsidRPr="00E242D2" w:rsidRDefault="00966224" w:rsidP="001A7244">
            <w:pPr>
              <w:widowControl/>
              <w:autoSpaceDE/>
              <w:autoSpaceDN/>
              <w:rPr>
                <w:rFonts w:asciiTheme="minorHAnsi" w:eastAsia="Times New Roman" w:hAnsiTheme="minorHAnsi" w:cstheme="minorHAnsi"/>
                <w:color w:val="FFFFFF"/>
                <w:sz w:val="18"/>
                <w:szCs w:val="18"/>
                <w:lang w:eastAsia="pl-PL" w:bidi="ar-SA"/>
              </w:rPr>
            </w:pPr>
            <w:r w:rsidRPr="00E242D2">
              <w:rPr>
                <w:rFonts w:asciiTheme="minorHAnsi" w:eastAsia="Times New Roman" w:hAnsiTheme="minorHAnsi" w:cstheme="minorHAnsi"/>
                <w:color w:val="FFFFFF"/>
                <w:sz w:val="18"/>
                <w:szCs w:val="18"/>
                <w:lang w:eastAsia="pl-PL" w:bidi="ar-SA"/>
              </w:rPr>
              <w:t>Type of change</w:t>
            </w:r>
          </w:p>
        </w:tc>
      </w:tr>
      <w:tr w:rsidR="00966224" w:rsidRPr="00E242D2" w14:paraId="77E1E755" w14:textId="77777777" w:rsidTr="00966224">
        <w:trPr>
          <w:trHeight w:val="315"/>
        </w:trPr>
        <w:tc>
          <w:tcPr>
            <w:tcW w:w="7513" w:type="dxa"/>
            <w:tcBorders>
              <w:top w:val="nil"/>
              <w:left w:val="dotted" w:sz="4" w:space="0" w:color="auto"/>
              <w:bottom w:val="dotted" w:sz="4" w:space="0" w:color="auto"/>
              <w:right w:val="dotted" w:sz="4" w:space="0" w:color="auto"/>
            </w:tcBorders>
            <w:shd w:val="clear" w:color="000000" w:fill="F2F2F2"/>
            <w:noWrap/>
            <w:vAlign w:val="center"/>
          </w:tcPr>
          <w:p w14:paraId="7364E9AD" w14:textId="77777777" w:rsidR="00966224" w:rsidRPr="00E242D2" w:rsidRDefault="00966224" w:rsidP="001A7244">
            <w:pPr>
              <w:widowControl/>
              <w:autoSpaceDE/>
              <w:autoSpaceDN/>
              <w:rPr>
                <w:rFonts w:asciiTheme="minorHAnsi" w:eastAsia="Times New Roman" w:hAnsiTheme="minorHAnsi" w:cstheme="minorHAnsi"/>
                <w:strike/>
                <w:color w:val="575756"/>
                <w:sz w:val="18"/>
                <w:szCs w:val="18"/>
                <w:lang w:eastAsia="pl-PL" w:bidi="ar-SA"/>
              </w:rPr>
            </w:pPr>
            <w:r w:rsidRPr="00E242D2">
              <w:rPr>
                <w:rFonts w:asciiTheme="minorHAnsi" w:eastAsia="Times New Roman" w:hAnsiTheme="minorHAnsi" w:cstheme="minorHAnsi"/>
                <w:strike/>
                <w:color w:val="575756"/>
                <w:sz w:val="18"/>
                <w:szCs w:val="18"/>
                <w:lang w:eastAsia="pl-PL" w:bidi="ar-SA"/>
              </w:rPr>
              <w:t>[810000] Notes - Corporate information and statement of IFRS compliance</w:t>
            </w:r>
          </w:p>
          <w:p w14:paraId="7BE7BF16" w14:textId="007A6AEE" w:rsidR="00966224" w:rsidRPr="00E242D2" w:rsidRDefault="00966224" w:rsidP="001A7244">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[810000] Notes - Corporate information</w:t>
            </w:r>
          </w:p>
        </w:tc>
        <w:tc>
          <w:tcPr>
            <w:tcW w:w="1417" w:type="dxa"/>
            <w:tcBorders>
              <w:top w:val="nil"/>
              <w:left w:val="nil"/>
              <w:bottom w:val="dotted" w:sz="4" w:space="0" w:color="auto"/>
              <w:right w:val="dotted" w:sz="4" w:space="0" w:color="auto"/>
            </w:tcBorders>
            <w:shd w:val="clear" w:color="000000" w:fill="F2F2F2"/>
            <w:vAlign w:val="center"/>
          </w:tcPr>
          <w:p w14:paraId="049AA349" w14:textId="64D43124" w:rsidR="00966224" w:rsidRPr="00E242D2" w:rsidRDefault="00966224" w:rsidP="001A7244">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r>
      <w:tr w:rsidR="00966224" w:rsidRPr="00E242D2" w14:paraId="2BD46904" w14:textId="77777777" w:rsidTr="00966224">
        <w:trPr>
          <w:trHeight w:val="315"/>
        </w:trPr>
        <w:tc>
          <w:tcPr>
            <w:tcW w:w="7513" w:type="dxa"/>
            <w:tcBorders>
              <w:top w:val="nil"/>
              <w:left w:val="dotted" w:sz="4" w:space="0" w:color="auto"/>
              <w:bottom w:val="dotted" w:sz="4" w:space="0" w:color="auto"/>
              <w:right w:val="dotted" w:sz="4" w:space="0" w:color="auto"/>
            </w:tcBorders>
            <w:shd w:val="clear" w:color="000000" w:fill="F2F2F2"/>
            <w:noWrap/>
            <w:vAlign w:val="center"/>
          </w:tcPr>
          <w:p w14:paraId="2D2E61A3" w14:textId="77777777" w:rsidR="00966224" w:rsidRPr="00E242D2" w:rsidRDefault="00966224" w:rsidP="001A7244">
            <w:pPr>
              <w:widowControl/>
              <w:autoSpaceDE/>
              <w:autoSpaceDN/>
              <w:rPr>
                <w:rFonts w:asciiTheme="minorHAnsi" w:eastAsia="Times New Roman" w:hAnsiTheme="minorHAnsi" w:cstheme="minorHAnsi"/>
                <w:strike/>
                <w:color w:val="575756"/>
                <w:sz w:val="18"/>
                <w:szCs w:val="18"/>
                <w:lang w:eastAsia="pl-PL" w:bidi="ar-SA"/>
              </w:rPr>
            </w:pPr>
            <w:r w:rsidRPr="00E242D2">
              <w:rPr>
                <w:rFonts w:asciiTheme="minorHAnsi" w:eastAsia="Times New Roman" w:hAnsiTheme="minorHAnsi" w:cstheme="minorHAnsi"/>
                <w:strike/>
                <w:color w:val="575756"/>
                <w:sz w:val="18"/>
                <w:szCs w:val="18"/>
                <w:lang w:eastAsia="pl-PL" w:bidi="ar-SA"/>
              </w:rPr>
              <w:t>[811000] Notes - Accounting policies, changes in accounting estimates and errors</w:t>
            </w:r>
          </w:p>
          <w:p w14:paraId="3074B0D9" w14:textId="01657B0D" w:rsidR="00966224" w:rsidRPr="00E242D2" w:rsidRDefault="00966224" w:rsidP="001A7244">
            <w:pPr>
              <w:widowControl/>
              <w:autoSpaceDE/>
              <w:autoSpaceDN/>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 xml:space="preserve">[811000] Notes - Basis of preparation of financial statements and </w:t>
            </w:r>
            <w:proofErr w:type="gramStart"/>
            <w:r w:rsidRPr="00E242D2">
              <w:rPr>
                <w:rFonts w:asciiTheme="minorHAnsi" w:eastAsia="Times New Roman" w:hAnsiTheme="minorHAnsi" w:cstheme="minorHAnsi"/>
                <w:color w:val="575756"/>
                <w:sz w:val="18"/>
                <w:szCs w:val="18"/>
                <w:lang w:eastAsia="pl-PL" w:bidi="ar-SA"/>
              </w:rPr>
              <w:t>statement</w:t>
            </w:r>
            <w:proofErr w:type="gramEnd"/>
            <w:r w:rsidRPr="00E242D2">
              <w:rPr>
                <w:rFonts w:asciiTheme="minorHAnsi" w:eastAsia="Times New Roman" w:hAnsiTheme="minorHAnsi" w:cstheme="minorHAnsi"/>
                <w:color w:val="575756"/>
                <w:sz w:val="18"/>
                <w:szCs w:val="18"/>
                <w:lang w:eastAsia="pl-PL" w:bidi="ar-SA"/>
              </w:rPr>
              <w:t xml:space="preserve"> of IFRS compliance</w:t>
            </w:r>
          </w:p>
        </w:tc>
        <w:tc>
          <w:tcPr>
            <w:tcW w:w="1417" w:type="dxa"/>
            <w:tcBorders>
              <w:top w:val="nil"/>
              <w:left w:val="nil"/>
              <w:bottom w:val="dotted" w:sz="4" w:space="0" w:color="auto"/>
              <w:right w:val="dotted" w:sz="4" w:space="0" w:color="auto"/>
            </w:tcBorders>
            <w:shd w:val="clear" w:color="000000" w:fill="F2F2F2"/>
            <w:vAlign w:val="center"/>
          </w:tcPr>
          <w:p w14:paraId="07B1502C" w14:textId="139FFA37" w:rsidR="00966224" w:rsidRPr="00E242D2" w:rsidRDefault="00966224" w:rsidP="001A7244">
            <w:pPr>
              <w:widowControl/>
              <w:autoSpaceDE/>
              <w:autoSpaceDN/>
              <w:jc w:val="center"/>
              <w:rPr>
                <w:rFonts w:asciiTheme="minorHAnsi" w:eastAsia="Times New Roman" w:hAnsiTheme="minorHAnsi" w:cstheme="minorHAnsi"/>
                <w:color w:val="575756"/>
                <w:sz w:val="18"/>
                <w:szCs w:val="18"/>
                <w:lang w:eastAsia="pl-PL" w:bidi="ar-SA"/>
              </w:rPr>
            </w:pPr>
            <w:r w:rsidRPr="00E242D2">
              <w:rPr>
                <w:rFonts w:asciiTheme="minorHAnsi" w:eastAsia="Times New Roman" w:hAnsiTheme="minorHAnsi" w:cstheme="minorHAnsi"/>
                <w:color w:val="575756"/>
                <w:sz w:val="18"/>
                <w:szCs w:val="18"/>
                <w:lang w:eastAsia="pl-PL" w:bidi="ar-SA"/>
              </w:rPr>
              <w:t>Updated</w:t>
            </w:r>
          </w:p>
        </w:tc>
      </w:tr>
    </w:tbl>
    <w:p w14:paraId="2AF3B39F" w14:textId="77777777" w:rsidR="00966224" w:rsidRPr="00E242D2" w:rsidRDefault="00966224" w:rsidP="00477A4E">
      <w:pPr>
        <w:widowControl/>
        <w:autoSpaceDE/>
        <w:rPr>
          <w:rFonts w:eastAsia="Times New Roman"/>
          <w:bCs/>
          <w:color w:val="FFFFFF" w:themeColor="text1"/>
          <w:sz w:val="18"/>
          <w:szCs w:val="18"/>
          <w:highlight w:val="yellow"/>
          <w:lang w:eastAsia="ja-JP" w:bidi="ar-SA"/>
        </w:rPr>
      </w:pPr>
    </w:p>
    <w:p w14:paraId="3EF06080" w14:textId="67AF71E8" w:rsidR="000E4AE4" w:rsidRPr="00E242D2" w:rsidRDefault="00661C3F" w:rsidP="00462A7D">
      <w:pPr>
        <w:pStyle w:val="MainBodyText"/>
        <w:spacing w:after="240"/>
        <w:ind w:left="142" w:right="132"/>
        <w:jc w:val="both"/>
        <w:rPr>
          <w:lang w:val="en-GB"/>
        </w:rPr>
      </w:pPr>
      <w:r w:rsidRPr="00E242D2">
        <w:rPr>
          <w:lang w:val="en-GB"/>
        </w:rPr>
        <w:t>The</w:t>
      </w:r>
      <w:r w:rsidR="000E4AE4" w:rsidRPr="00E242D2">
        <w:rPr>
          <w:lang w:val="en-GB"/>
        </w:rPr>
        <w:t xml:space="preserve"> complete list of all new items that were introduced with the 202</w:t>
      </w:r>
      <w:r w:rsidR="00C62641" w:rsidRPr="00E242D2">
        <w:rPr>
          <w:lang w:val="en-GB"/>
        </w:rPr>
        <w:t>5</w:t>
      </w:r>
      <w:r w:rsidR="000E4AE4" w:rsidRPr="00E242D2">
        <w:rPr>
          <w:lang w:val="en-GB"/>
        </w:rPr>
        <w:t xml:space="preserve"> release of the IFRS taxonomy is provided in </w:t>
      </w:r>
      <w:r w:rsidR="000E4AE4" w:rsidRPr="00E242D2">
        <w:rPr>
          <w:i/>
          <w:iCs/>
          <w:lang w:val="en-GB"/>
        </w:rPr>
        <w:t>Appendix A</w:t>
      </w:r>
      <w:r w:rsidR="000E4AE4" w:rsidRPr="00E242D2">
        <w:rPr>
          <w:lang w:val="en-GB"/>
        </w:rPr>
        <w:t xml:space="preserve"> to this document. </w:t>
      </w:r>
      <w:r w:rsidR="007524A7" w:rsidRPr="00E242D2">
        <w:rPr>
          <w:lang w:val="en-GB"/>
        </w:rPr>
        <w:t>Similarly</w:t>
      </w:r>
      <w:r w:rsidR="007C0AE3" w:rsidRPr="00E242D2">
        <w:rPr>
          <w:lang w:val="en-GB"/>
        </w:rPr>
        <w:t>,</w:t>
      </w:r>
      <w:r w:rsidR="007524A7" w:rsidRPr="00E242D2">
        <w:rPr>
          <w:lang w:val="en-GB"/>
        </w:rPr>
        <w:t xml:space="preserve"> </w:t>
      </w:r>
      <w:r w:rsidR="007524A7" w:rsidRPr="00E242D2">
        <w:rPr>
          <w:i/>
          <w:iCs/>
          <w:lang w:val="en-GB"/>
        </w:rPr>
        <w:t>Appendix B</w:t>
      </w:r>
      <w:r w:rsidR="007524A7" w:rsidRPr="00E242D2">
        <w:rPr>
          <w:lang w:val="en-GB"/>
        </w:rPr>
        <w:t xml:space="preserve"> consists of items which were expelled from the 202</w:t>
      </w:r>
      <w:r w:rsidR="00681587" w:rsidRPr="00E242D2">
        <w:rPr>
          <w:lang w:val="en-GB"/>
        </w:rPr>
        <w:t>5</w:t>
      </w:r>
      <w:r w:rsidR="007524A7" w:rsidRPr="00E242D2">
        <w:rPr>
          <w:lang w:val="en-GB"/>
        </w:rPr>
        <w:t xml:space="preserve"> release.</w:t>
      </w:r>
    </w:p>
    <w:p w14:paraId="1C018399" w14:textId="18C37FC7" w:rsidR="00C22BDC" w:rsidRPr="00E242D2" w:rsidRDefault="00C22BDC" w:rsidP="00C22BDC">
      <w:pPr>
        <w:pStyle w:val="Heading3"/>
        <w:ind w:left="142"/>
      </w:pPr>
      <w:bookmarkStart w:id="15" w:name="_Toc195789350"/>
      <w:r w:rsidRPr="00E242D2">
        <w:lastRenderedPageBreak/>
        <w:t xml:space="preserve">IFRS-SMEs structures affected by IFRS </w:t>
      </w:r>
      <w:r w:rsidR="005B3339" w:rsidRPr="00E242D2">
        <w:t>202</w:t>
      </w:r>
      <w:r w:rsidR="00C62641" w:rsidRPr="00E242D2">
        <w:t>5</w:t>
      </w:r>
      <w:r w:rsidR="005B3339" w:rsidRPr="00E242D2">
        <w:t xml:space="preserve"> </w:t>
      </w:r>
      <w:r w:rsidR="003E63CF" w:rsidRPr="00E242D2">
        <w:t>updates</w:t>
      </w:r>
      <w:bookmarkEnd w:id="15"/>
    </w:p>
    <w:p w14:paraId="191FA87A" w14:textId="2EDC84C6" w:rsidR="00C62641" w:rsidRPr="00E242D2" w:rsidRDefault="00C62641" w:rsidP="00F475D7">
      <w:pPr>
        <w:pStyle w:val="MainBodyText"/>
        <w:spacing w:after="240"/>
        <w:ind w:right="132"/>
        <w:jc w:val="both"/>
        <w:rPr>
          <w:lang w:val="en-GB"/>
        </w:rPr>
      </w:pPr>
      <w:r w:rsidRPr="00E242D2">
        <w:rPr>
          <w:lang w:val="en-GB"/>
        </w:rPr>
        <w:t>The taxonomy package released on 27</w:t>
      </w:r>
      <w:r w:rsidRPr="00E242D2">
        <w:rPr>
          <w:vertAlign w:val="superscript"/>
          <w:lang w:val="en-GB"/>
        </w:rPr>
        <w:t>th</w:t>
      </w:r>
      <w:r w:rsidRPr="00E242D2">
        <w:rPr>
          <w:lang w:val="en-GB"/>
        </w:rPr>
        <w:t xml:space="preserve"> March 2025 does not include the IFRS SME</w:t>
      </w:r>
      <w:r w:rsidR="006F5920" w:rsidRPr="00E242D2">
        <w:rPr>
          <w:lang w:val="en-GB"/>
        </w:rPr>
        <w:t xml:space="preserve"> structures</w:t>
      </w:r>
      <w:r w:rsidRPr="00E242D2">
        <w:rPr>
          <w:lang w:val="en-GB"/>
        </w:rPr>
        <w:t>, which is set for another publication date.</w:t>
      </w:r>
    </w:p>
    <w:p w14:paraId="46CC082C" w14:textId="14628C14" w:rsidR="00F475D7" w:rsidRPr="00E242D2" w:rsidRDefault="00D858EB" w:rsidP="00F475D7">
      <w:pPr>
        <w:pStyle w:val="Heading3"/>
        <w:ind w:left="142"/>
      </w:pPr>
      <w:bookmarkStart w:id="16" w:name="_Toc195789351"/>
      <w:r w:rsidRPr="00E242D2">
        <w:t xml:space="preserve">IFRS </w:t>
      </w:r>
      <w:r w:rsidR="00F475D7" w:rsidRPr="00E242D2">
        <w:t xml:space="preserve">elements </w:t>
      </w:r>
      <w:r w:rsidRPr="00E242D2">
        <w:t xml:space="preserve">modified in IFRS </w:t>
      </w:r>
      <w:r w:rsidR="005B3339" w:rsidRPr="00E242D2">
        <w:t>202</w:t>
      </w:r>
      <w:r w:rsidR="00792CF4" w:rsidRPr="00E242D2">
        <w:t>5</w:t>
      </w:r>
      <w:r w:rsidR="005B3339" w:rsidRPr="00E242D2">
        <w:t xml:space="preserve"> </w:t>
      </w:r>
      <w:r w:rsidRPr="00E242D2">
        <w:t>updates</w:t>
      </w:r>
      <w:bookmarkEnd w:id="16"/>
    </w:p>
    <w:p w14:paraId="78A35720" w14:textId="68A1B1EF" w:rsidR="00A22154" w:rsidRPr="00E242D2" w:rsidRDefault="00A22154" w:rsidP="00A22154">
      <w:pPr>
        <w:pStyle w:val="MainBodyText"/>
        <w:spacing w:after="240"/>
        <w:ind w:right="132"/>
        <w:jc w:val="both"/>
        <w:rPr>
          <w:lang w:val="en-GB"/>
        </w:rPr>
      </w:pPr>
      <w:r w:rsidRPr="00E242D2">
        <w:rPr>
          <w:noProof/>
          <w:lang w:val="en-GB"/>
        </w:rPr>
        <mc:AlternateContent>
          <mc:Choice Requires="wps">
            <w:drawing>
              <wp:anchor distT="0" distB="0" distL="114300" distR="114300" simplePos="0" relativeHeight="251660288" behindDoc="0" locked="0" layoutInCell="1" allowOverlap="1" wp14:anchorId="4A1DA8C5" wp14:editId="6EE065D4">
                <wp:simplePos x="0" y="0"/>
                <wp:positionH relativeFrom="column">
                  <wp:posOffset>-1188720</wp:posOffset>
                </wp:positionH>
                <wp:positionV relativeFrom="paragraph">
                  <wp:posOffset>695325</wp:posOffset>
                </wp:positionV>
                <wp:extent cx="304800" cy="350520"/>
                <wp:effectExtent l="0" t="0" r="0" b="0"/>
                <wp:wrapNone/>
                <wp:docPr id="1944701396" name="Rectangle 1944701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50520"/>
                        </a:xfrm>
                        <a:prstGeom prst="rect">
                          <a:avLst/>
                        </a:prstGeom>
                        <a:noFill/>
                        <a:extLst>
                          <a:ext uri="{909E8E84-426E-40DD-AFC4-6F175D3DCCD1}">
                            <a14:hiddenFill xmlns:a14="http://schemas.microsoft.com/office/drawing/2010/main">
                              <a:solidFill>
                                <a:srgbClr val="FFFFFF"/>
                              </a:solidFill>
                            </a14:hiddenFill>
                          </a:ext>
                        </a:extLst>
                      </wps:spPr>
                      <wps:bodyPr vertOverflow="clip" horzOverflow="clip"/>
                    </wps:wsp>
                  </a:graphicData>
                </a:graphic>
                <wp14:sizeRelH relativeFrom="page">
                  <wp14:pctWidth>0</wp14:pctWidth>
                </wp14:sizeRelH>
                <wp14:sizeRelV relativeFrom="page">
                  <wp14:pctHeight>0</wp14:pctHeight>
                </wp14:sizeRelV>
              </wp:anchor>
            </w:drawing>
          </mc:Choice>
          <mc:Fallback>
            <w:pict>
              <v:rect w14:anchorId="1B6BC09E" id="Rectangle 1944701396" o:spid="_x0000_s1026" style="position:absolute;margin-left:-93.6pt;margin-top:54.75pt;width:24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" filled="f" stroked="f">
                <o:lock v:ext="edit" aspectratio="t"/>
              </v:rect>
            </w:pict>
          </mc:Fallback>
        </mc:AlternateContent>
      </w:r>
      <w:r w:rsidRPr="00E242D2">
        <w:rPr>
          <w:lang w:val="en-GB"/>
        </w:rPr>
        <w:t xml:space="preserve">In some cases, the IFRS taxonomy team decides to introduce changes regarding elements labels, references, documentations or element type and attributes. To ensure consistency with the previous versions of the standard technical names of elements remain the same and only the label </w:t>
      </w:r>
      <w:proofErr w:type="spellStart"/>
      <w:r w:rsidRPr="00E242D2">
        <w:rPr>
          <w:lang w:val="en-GB"/>
        </w:rPr>
        <w:t>linkbase</w:t>
      </w:r>
      <w:proofErr w:type="spellEnd"/>
      <w:r w:rsidRPr="00E242D2">
        <w:rPr>
          <w:lang w:val="en-GB"/>
        </w:rPr>
        <w:t xml:space="preserve"> is updated or adequately the documentation, references or element type and attributes. The changes aim to provide more meaningful business description of the elements content or update the references to reflect changes in the standards (e.g. their effective dates). Detailed list of all </w:t>
      </w:r>
      <w:r w:rsidR="00FB3826" w:rsidRPr="00E242D2">
        <w:rPr>
          <w:lang w:val="en-GB"/>
        </w:rPr>
        <w:t>291</w:t>
      </w:r>
      <w:r w:rsidRPr="00E242D2">
        <w:rPr>
          <w:lang w:val="en-GB"/>
        </w:rPr>
        <w:t xml:space="preserve"> items that were modified in the 202</w:t>
      </w:r>
      <w:r w:rsidR="005872CA" w:rsidRPr="00E242D2">
        <w:rPr>
          <w:lang w:val="en-GB"/>
        </w:rPr>
        <w:t>5</w:t>
      </w:r>
      <w:r w:rsidRPr="00E242D2">
        <w:rPr>
          <w:lang w:val="en-GB"/>
        </w:rPr>
        <w:t xml:space="preserve"> taxonomy are presented in </w:t>
      </w:r>
      <w:r w:rsidRPr="00E242D2">
        <w:rPr>
          <w:i/>
          <w:iCs/>
          <w:lang w:val="en-GB"/>
        </w:rPr>
        <w:t>Appendix C</w:t>
      </w:r>
      <w:r w:rsidRPr="00E242D2">
        <w:rPr>
          <w:lang w:val="en-GB"/>
        </w:rPr>
        <w:t>.</w:t>
      </w:r>
    </w:p>
    <w:p w14:paraId="49C99219" w14:textId="4CD774A7" w:rsidR="00CE199A" w:rsidRPr="00E242D2" w:rsidRDefault="00A22154" w:rsidP="008C411B">
      <w:pPr>
        <w:pStyle w:val="MainBodyText"/>
        <w:spacing w:after="240"/>
        <w:ind w:right="132"/>
        <w:jc w:val="both"/>
        <w:rPr>
          <w:lang w:val="en-GB"/>
        </w:rPr>
      </w:pPr>
      <w:r w:rsidRPr="00E242D2">
        <w:rPr>
          <w:lang w:val="en-GB"/>
        </w:rPr>
        <w:t>In addition to the above detailed descriptions of the discrepancies observed between IFRS 202</w:t>
      </w:r>
      <w:r w:rsidR="006F5920" w:rsidRPr="00E242D2">
        <w:rPr>
          <w:lang w:val="en-GB"/>
        </w:rPr>
        <w:t>4</w:t>
      </w:r>
      <w:r w:rsidRPr="00E242D2">
        <w:rPr>
          <w:lang w:val="en-GB"/>
        </w:rPr>
        <w:t xml:space="preserve"> and 202</w:t>
      </w:r>
      <w:r w:rsidR="006F5920" w:rsidRPr="00E242D2">
        <w:rPr>
          <w:lang w:val="en-GB"/>
        </w:rPr>
        <w:t>5</w:t>
      </w:r>
      <w:r w:rsidRPr="00E242D2">
        <w:rPr>
          <w:lang w:val="en-GB"/>
        </w:rPr>
        <w:t xml:space="preserve"> versions of the taxonomy, </w:t>
      </w:r>
      <w:r w:rsidR="00D20182" w:rsidRPr="00E242D2">
        <w:rPr>
          <w:lang w:val="en-GB"/>
        </w:rPr>
        <w:t>the</w:t>
      </w:r>
      <w:r w:rsidRPr="00E242D2">
        <w:rPr>
          <w:lang w:val="en-GB"/>
        </w:rPr>
        <w:t xml:space="preserve"> original </w:t>
      </w:r>
      <w:r w:rsidR="00D20182" w:rsidRPr="00E242D2">
        <w:rPr>
          <w:lang w:val="en-GB"/>
        </w:rPr>
        <w:t xml:space="preserve">early application of IFRS 18 </w:t>
      </w:r>
      <w:r w:rsidRPr="00E242D2">
        <w:rPr>
          <w:lang w:val="en-GB"/>
        </w:rPr>
        <w:t xml:space="preserve">versioning report, as published by the IASB, is attached in </w:t>
      </w:r>
      <w:r w:rsidRPr="00E242D2">
        <w:rPr>
          <w:i/>
          <w:iCs/>
          <w:lang w:val="en-GB"/>
        </w:rPr>
        <w:t>Appendix D</w:t>
      </w:r>
      <w:r w:rsidRPr="00E242D2">
        <w:rPr>
          <w:lang w:val="en-GB"/>
        </w:rPr>
        <w:t xml:space="preserve"> to this document.</w:t>
      </w:r>
    </w:p>
    <w:p w14:paraId="4B077367" w14:textId="77777777" w:rsidR="00D93E5B" w:rsidRPr="00E242D2" w:rsidRDefault="00D93E5B" w:rsidP="001B634F">
      <w:pPr>
        <w:pStyle w:val="Heading2"/>
        <w:spacing w:line="240" w:lineRule="auto"/>
        <w:jc w:val="both"/>
        <w:rPr>
          <w:lang w:val="en-GB"/>
        </w:rPr>
      </w:pPr>
      <w:bookmarkStart w:id="17" w:name="_Toc195789352"/>
      <w:r w:rsidRPr="00E242D2">
        <w:rPr>
          <w:lang w:val="en-GB"/>
        </w:rPr>
        <w:t>Recommendation</w:t>
      </w:r>
      <w:bookmarkEnd w:id="17"/>
    </w:p>
    <w:p w14:paraId="4223E0A5" w14:textId="77777777" w:rsidR="00B07C66" w:rsidRPr="00E242D2" w:rsidRDefault="00D93E5B" w:rsidP="00234E3B">
      <w:pPr>
        <w:spacing w:after="240"/>
        <w:ind w:left="142"/>
        <w:jc w:val="both"/>
      </w:pPr>
      <w:r w:rsidRPr="00E242D2">
        <w:rPr>
          <w:color w:val="575756"/>
          <w:sz w:val="20"/>
        </w:rPr>
        <w:t xml:space="preserve">As per Section 29 (5) (b) of the Companies Act, no. 71 of 2008, the preparation of financial statements must be consistent with the International Financial Reporting Standards of the International Accounting Standards Board or its successor body. To </w:t>
      </w:r>
      <w:r w:rsidR="00053D57" w:rsidRPr="00E242D2">
        <w:rPr>
          <w:color w:val="575756"/>
          <w:sz w:val="20"/>
        </w:rPr>
        <w:t xml:space="preserve">ensure </w:t>
      </w:r>
      <w:r w:rsidRPr="00E242D2">
        <w:rPr>
          <w:color w:val="575756"/>
          <w:sz w:val="20"/>
        </w:rPr>
        <w:t xml:space="preserve">that the CIPC </w:t>
      </w:r>
      <w:r w:rsidR="000D18EC" w:rsidRPr="00E242D2">
        <w:rPr>
          <w:color w:val="575756"/>
          <w:sz w:val="20"/>
        </w:rPr>
        <w:t>T</w:t>
      </w:r>
      <w:r w:rsidRPr="00E242D2">
        <w:rPr>
          <w:color w:val="575756"/>
          <w:sz w:val="20"/>
        </w:rPr>
        <w:t xml:space="preserve">axonomy is fully compliant with the Companies Act requirements </w:t>
      </w:r>
      <w:proofErr w:type="gramStart"/>
      <w:r w:rsidRPr="00E242D2">
        <w:rPr>
          <w:color w:val="575756"/>
          <w:sz w:val="20"/>
        </w:rPr>
        <w:t>and also</w:t>
      </w:r>
      <w:proofErr w:type="gramEnd"/>
      <w:r w:rsidRPr="00E242D2">
        <w:rPr>
          <w:color w:val="575756"/>
          <w:sz w:val="20"/>
        </w:rPr>
        <w:t xml:space="preserve"> with all relevant developments of the IFRS Foundation, it is highly recommended to incorporate all changes introduced in the latest instalment of the IFRS Taxonomy, as listed </w:t>
      </w:r>
      <w:r w:rsidR="00C22BDC" w:rsidRPr="00E242D2">
        <w:rPr>
          <w:color w:val="575756"/>
          <w:sz w:val="20"/>
        </w:rPr>
        <w:t>above in the</w:t>
      </w:r>
      <w:r w:rsidRPr="00E242D2">
        <w:rPr>
          <w:color w:val="575756"/>
          <w:sz w:val="20"/>
        </w:rPr>
        <w:t xml:space="preserve"> analysis.</w:t>
      </w:r>
      <w:r w:rsidRPr="00E242D2">
        <w:t xml:space="preserve"> </w:t>
      </w:r>
      <w:bookmarkStart w:id="18" w:name="_Appendix_A_-"/>
      <w:bookmarkStart w:id="19" w:name="_Appendix_A._-"/>
      <w:bookmarkEnd w:id="18"/>
      <w:bookmarkEnd w:id="19"/>
    </w:p>
    <w:p w14:paraId="145FBB54" w14:textId="1276F261" w:rsidR="00E92D5B" w:rsidRPr="00E242D2" w:rsidRDefault="00E92D5B"/>
    <w:p w14:paraId="37A23C4A" w14:textId="449E92EA" w:rsidR="00E92D5B" w:rsidRPr="00E242D2" w:rsidRDefault="00E92D5B" w:rsidP="00E92D5B">
      <w:pPr>
        <w:pStyle w:val="MainTitel"/>
        <w:spacing w:after="240" w:line="276" w:lineRule="auto"/>
        <w:jc w:val="both"/>
        <w:rPr>
          <w:lang w:val="en-GB"/>
        </w:rPr>
      </w:pPr>
      <w:bookmarkStart w:id="20" w:name="_Toc195789353"/>
      <w:r w:rsidRPr="00E242D2">
        <w:rPr>
          <w:lang w:val="en-GB"/>
        </w:rPr>
        <w:t xml:space="preserve">Gap analysis: IFRS </w:t>
      </w:r>
      <w:r w:rsidR="00D41F4E" w:rsidRPr="00E242D2">
        <w:rPr>
          <w:lang w:val="en-GB"/>
        </w:rPr>
        <w:t>S</w:t>
      </w:r>
      <w:r w:rsidRPr="00E242D2">
        <w:rPr>
          <w:lang w:val="en-GB"/>
        </w:rPr>
        <w:t xml:space="preserve">ustainability </w:t>
      </w:r>
      <w:r w:rsidR="00816FB5" w:rsidRPr="00E242D2">
        <w:rPr>
          <w:lang w:val="en-GB"/>
        </w:rPr>
        <w:t xml:space="preserve">Disclosure </w:t>
      </w:r>
      <w:r w:rsidR="00D41F4E" w:rsidRPr="00E242D2">
        <w:rPr>
          <w:lang w:val="en-GB"/>
        </w:rPr>
        <w:t>T</w:t>
      </w:r>
      <w:r w:rsidRPr="00E242D2">
        <w:rPr>
          <w:lang w:val="en-GB"/>
        </w:rPr>
        <w:t>axonomy 202</w:t>
      </w:r>
      <w:r w:rsidR="006F5920" w:rsidRPr="00E242D2">
        <w:rPr>
          <w:lang w:val="en-GB"/>
        </w:rPr>
        <w:t>5</w:t>
      </w:r>
      <w:bookmarkEnd w:id="20"/>
    </w:p>
    <w:p w14:paraId="2FCE3526" w14:textId="77777777" w:rsidR="006F5920" w:rsidRPr="00E242D2" w:rsidRDefault="006F5920" w:rsidP="006F5920">
      <w:pPr>
        <w:pStyle w:val="Heading2"/>
        <w:spacing w:after="240"/>
        <w:rPr>
          <w:lang w:val="en-GB"/>
        </w:rPr>
      </w:pPr>
      <w:bookmarkStart w:id="21" w:name="_Toc195789354"/>
      <w:r w:rsidRPr="00E242D2">
        <w:rPr>
          <w:lang w:val="en-GB"/>
        </w:rPr>
        <w:t>Summary of observations</w:t>
      </w:r>
      <w:bookmarkEnd w:id="21"/>
    </w:p>
    <w:p w14:paraId="7CE574E7" w14:textId="1D837D13" w:rsidR="006F5920" w:rsidRPr="00E242D2" w:rsidRDefault="006F5920" w:rsidP="006F5920">
      <w:pPr>
        <w:pStyle w:val="MainBodyText"/>
        <w:spacing w:after="240"/>
        <w:ind w:right="132"/>
        <w:jc w:val="both"/>
        <w:rPr>
          <w:lang w:val="en-GB"/>
        </w:rPr>
      </w:pPr>
      <w:r w:rsidRPr="00E242D2">
        <w:rPr>
          <w:lang w:val="en-GB"/>
        </w:rPr>
        <w:t>The taxonomy package released on 27</w:t>
      </w:r>
      <w:r w:rsidRPr="00E242D2">
        <w:rPr>
          <w:vertAlign w:val="superscript"/>
          <w:lang w:val="en-GB"/>
        </w:rPr>
        <w:t>th</w:t>
      </w:r>
      <w:r w:rsidRPr="00E242D2">
        <w:rPr>
          <w:lang w:val="en-GB"/>
        </w:rPr>
        <w:t xml:space="preserve"> March 2025 does not include the IFRS Sustainability Disclosure Taxonomy structures, which is set for another publication date.</w:t>
      </w:r>
    </w:p>
    <w:p w14:paraId="60219063" w14:textId="783D1EC5" w:rsidR="00091B9E" w:rsidRPr="00E242D2" w:rsidRDefault="00091B9E">
      <w:pPr>
        <w:rPr>
          <w:color w:val="575756"/>
          <w:sz w:val="20"/>
        </w:rPr>
      </w:pPr>
    </w:p>
    <w:p w14:paraId="19BFC826" w14:textId="6E4A6704" w:rsidR="00F64F0B" w:rsidRPr="00E242D2" w:rsidRDefault="00F64F0B" w:rsidP="00A76C78">
      <w:pPr>
        <w:pStyle w:val="MainTitel"/>
        <w:spacing w:after="240" w:line="276" w:lineRule="auto"/>
        <w:jc w:val="both"/>
        <w:rPr>
          <w:lang w:val="en-GB"/>
        </w:rPr>
      </w:pPr>
      <w:bookmarkStart w:id="22" w:name="_Toc195789355"/>
      <w:r w:rsidRPr="00E242D2">
        <w:rPr>
          <w:lang w:val="en-GB"/>
        </w:rPr>
        <w:t xml:space="preserve">Gap analysis: </w:t>
      </w:r>
      <w:r w:rsidR="00A76C78" w:rsidRPr="00E242D2">
        <w:rPr>
          <w:lang w:val="en-GB"/>
        </w:rPr>
        <w:t>Co-operatives Act</w:t>
      </w:r>
      <w:bookmarkEnd w:id="22"/>
    </w:p>
    <w:p w14:paraId="062AB24E" w14:textId="77777777" w:rsidR="00A76C78" w:rsidRPr="00E242D2" w:rsidRDefault="00A76C78" w:rsidP="00A76C78">
      <w:pPr>
        <w:pStyle w:val="Heading2"/>
        <w:spacing w:after="240"/>
        <w:rPr>
          <w:lang w:val="en-GB"/>
        </w:rPr>
      </w:pPr>
      <w:bookmarkStart w:id="23" w:name="_Toc1196246119"/>
      <w:bookmarkStart w:id="24" w:name="_Toc195789356"/>
      <w:r w:rsidRPr="00E242D2">
        <w:rPr>
          <w:lang w:val="en-GB"/>
        </w:rPr>
        <w:t>Summary of observations</w:t>
      </w:r>
      <w:bookmarkEnd w:id="23"/>
      <w:bookmarkEnd w:id="24"/>
    </w:p>
    <w:p w14:paraId="2F071382" w14:textId="2E8A956C" w:rsidR="00A76C78" w:rsidRPr="00E242D2" w:rsidRDefault="00A76C78" w:rsidP="00A76C78">
      <w:pPr>
        <w:spacing w:after="240"/>
        <w:ind w:left="142"/>
        <w:jc w:val="both"/>
        <w:rPr>
          <w:color w:val="575756"/>
          <w:sz w:val="20"/>
        </w:rPr>
      </w:pPr>
      <w:r w:rsidRPr="00E242D2">
        <w:rPr>
          <w:color w:val="575756"/>
          <w:sz w:val="20"/>
        </w:rPr>
        <w:t>No changes to the Act have been identified in the past year, that may have an impact on the CO-OP module of the CIPC taxonomy, therefore the current taxonomy structures will remain unchanged (except of the parts that are shared with IFRS standard updates, as described earlier in this document).</w:t>
      </w:r>
    </w:p>
    <w:p w14:paraId="456AAAA4" w14:textId="77777777" w:rsidR="00091B9E" w:rsidRPr="00E242D2" w:rsidRDefault="00091B9E" w:rsidP="00A76C78">
      <w:pPr>
        <w:spacing w:after="240"/>
        <w:ind w:left="142"/>
        <w:jc w:val="both"/>
        <w:rPr>
          <w:color w:val="575756"/>
          <w:sz w:val="20"/>
        </w:rPr>
      </w:pPr>
    </w:p>
    <w:p w14:paraId="6D6E21E2" w14:textId="6AF7CC32" w:rsidR="00F64F0B" w:rsidRPr="00E242D2" w:rsidRDefault="00F64F0B" w:rsidP="00F64F0B">
      <w:pPr>
        <w:pStyle w:val="MainTitel"/>
        <w:spacing w:after="240" w:line="276" w:lineRule="auto"/>
        <w:jc w:val="both"/>
        <w:rPr>
          <w:lang w:val="en-GB"/>
        </w:rPr>
      </w:pPr>
      <w:bookmarkStart w:id="25" w:name="_Toc195789357"/>
      <w:r w:rsidRPr="00E242D2">
        <w:rPr>
          <w:lang w:val="en-GB"/>
        </w:rPr>
        <w:t xml:space="preserve">Gap analysis: </w:t>
      </w:r>
      <w:r w:rsidR="00A76C78" w:rsidRPr="00E242D2">
        <w:rPr>
          <w:lang w:val="en-GB"/>
        </w:rPr>
        <w:t>GRAP</w:t>
      </w:r>
      <w:bookmarkEnd w:id="25"/>
    </w:p>
    <w:p w14:paraId="468772B1" w14:textId="77777777" w:rsidR="001F573F" w:rsidRPr="00E242D2" w:rsidRDefault="001F573F" w:rsidP="001F573F">
      <w:pPr>
        <w:pStyle w:val="Heading2"/>
        <w:spacing w:after="240"/>
        <w:rPr>
          <w:lang w:val="en-GB"/>
        </w:rPr>
      </w:pPr>
      <w:bookmarkStart w:id="26" w:name="_Toc195789358"/>
      <w:r w:rsidRPr="00E242D2">
        <w:rPr>
          <w:lang w:val="en-GB"/>
        </w:rPr>
        <w:t>Summary of observations</w:t>
      </w:r>
      <w:bookmarkEnd w:id="26"/>
    </w:p>
    <w:p w14:paraId="5063F7F8" w14:textId="36188CA4" w:rsidR="009B4F63" w:rsidRPr="00E242D2" w:rsidRDefault="00A76C78" w:rsidP="005C6E83">
      <w:pPr>
        <w:spacing w:after="240"/>
        <w:ind w:left="142"/>
        <w:jc w:val="both"/>
        <w:rPr>
          <w:color w:val="575756"/>
          <w:sz w:val="20"/>
        </w:rPr>
      </w:pPr>
      <w:r w:rsidRPr="00E242D2">
        <w:rPr>
          <w:color w:val="575756"/>
          <w:sz w:val="20"/>
        </w:rPr>
        <w:t>For the GRAP reporting framework no material changes have been introduced for the 202</w:t>
      </w:r>
      <w:r w:rsidR="00F775AB" w:rsidRPr="00E242D2">
        <w:rPr>
          <w:color w:val="575756"/>
          <w:sz w:val="20"/>
        </w:rPr>
        <w:t>5</w:t>
      </w:r>
      <w:r w:rsidRPr="00E242D2">
        <w:rPr>
          <w:color w:val="575756"/>
          <w:sz w:val="20"/>
        </w:rPr>
        <w:t>/202</w:t>
      </w:r>
      <w:r w:rsidR="00F775AB" w:rsidRPr="00E242D2">
        <w:rPr>
          <w:color w:val="575756"/>
          <w:sz w:val="20"/>
        </w:rPr>
        <w:t>6</w:t>
      </w:r>
      <w:r w:rsidRPr="00E242D2">
        <w:rPr>
          <w:color w:val="575756"/>
          <w:sz w:val="20"/>
        </w:rPr>
        <w:t xml:space="preserve"> </w:t>
      </w:r>
      <w:r w:rsidRPr="00E242D2">
        <w:rPr>
          <w:color w:val="575756"/>
          <w:sz w:val="20"/>
        </w:rPr>
        <w:lastRenderedPageBreak/>
        <w:t>financial year therefore the taxonomy structures will remain unchanged (except of the parts that are shared with IFRS standard updates, as described earlier in this document).</w:t>
      </w:r>
    </w:p>
    <w:p w14:paraId="563F25AC" w14:textId="77777777" w:rsidR="0035489A" w:rsidRPr="00E242D2" w:rsidRDefault="0035489A">
      <w:r w:rsidRPr="00E242D2">
        <w:br w:type="page"/>
      </w:r>
    </w:p>
    <w:p w14:paraId="159335B0" w14:textId="4CE7D875" w:rsidR="00390021" w:rsidRPr="00E242D2" w:rsidRDefault="00390021" w:rsidP="00390021">
      <w:pPr>
        <w:pStyle w:val="MainTitel"/>
        <w:ind w:left="0"/>
        <w:rPr>
          <w:lang w:val="en-GB"/>
        </w:rPr>
      </w:pPr>
      <w:bookmarkStart w:id="27" w:name="_Toc520202613"/>
      <w:bookmarkStart w:id="28" w:name="_Toc6318044"/>
      <w:bookmarkStart w:id="29" w:name="_Toc100851889"/>
      <w:bookmarkStart w:id="30" w:name="_Toc195789359"/>
      <w:r w:rsidRPr="00E242D2">
        <w:rPr>
          <w:lang w:val="en-GB"/>
        </w:rPr>
        <w:lastRenderedPageBreak/>
        <w:t xml:space="preserve">Appendix A – </w:t>
      </w:r>
      <w:bookmarkEnd w:id="27"/>
      <w:bookmarkEnd w:id="28"/>
      <w:r w:rsidRPr="00E242D2">
        <w:rPr>
          <w:lang w:val="en-GB"/>
        </w:rPr>
        <w:t xml:space="preserve">List of new elements added to IFRS </w:t>
      </w:r>
      <w:r w:rsidR="002C07B3" w:rsidRPr="00E242D2">
        <w:rPr>
          <w:lang w:val="en-GB"/>
        </w:rPr>
        <w:t>202</w:t>
      </w:r>
      <w:r w:rsidR="00C561A7" w:rsidRPr="00E242D2">
        <w:rPr>
          <w:lang w:val="en-GB"/>
        </w:rPr>
        <w:t>5</w:t>
      </w:r>
      <w:r w:rsidR="002C07B3" w:rsidRPr="00E242D2">
        <w:rPr>
          <w:lang w:val="en-GB"/>
        </w:rPr>
        <w:t xml:space="preserve"> </w:t>
      </w:r>
      <w:r w:rsidRPr="00E242D2">
        <w:rPr>
          <w:lang w:val="en-GB"/>
        </w:rPr>
        <w:t>taxonomy</w:t>
      </w:r>
      <w:bookmarkEnd w:id="29"/>
      <w:bookmarkEnd w:id="30"/>
    </w:p>
    <w:p w14:paraId="4B7F5131" w14:textId="2C109511" w:rsidR="00390021" w:rsidRPr="00E242D2" w:rsidRDefault="00390021" w:rsidP="00390021">
      <w:pPr>
        <w:pStyle w:val="MainBodyText"/>
        <w:spacing w:after="240"/>
        <w:ind w:right="132"/>
        <w:jc w:val="both"/>
        <w:rPr>
          <w:lang w:val="en-GB"/>
        </w:rPr>
      </w:pPr>
      <w:r w:rsidRPr="00E242D2">
        <w:rPr>
          <w:lang w:val="en-GB"/>
        </w:rPr>
        <w:t xml:space="preserve">The excel spreadsheet provides a complete list of all new reportable elements introduced with the release of the IFRS </w:t>
      </w:r>
      <w:r w:rsidR="002C07B3" w:rsidRPr="00E242D2">
        <w:rPr>
          <w:lang w:val="en-GB"/>
        </w:rPr>
        <w:t>202</w:t>
      </w:r>
      <w:r w:rsidR="00C561A7" w:rsidRPr="00E242D2">
        <w:rPr>
          <w:lang w:val="en-GB"/>
        </w:rPr>
        <w:t>5</w:t>
      </w:r>
      <w:r w:rsidRPr="00E242D2">
        <w:rPr>
          <w:lang w:val="en-GB"/>
        </w:rPr>
        <w:t xml:space="preserve">: </w:t>
      </w:r>
    </w:p>
    <w:bookmarkStart w:id="31" w:name="_MON_1805793917"/>
    <w:bookmarkEnd w:id="31"/>
    <w:p w14:paraId="6E5A9DBD" w14:textId="368D8692" w:rsidR="00390021" w:rsidRPr="00E242D2" w:rsidRDefault="005C07A9" w:rsidP="00390021">
      <w:pPr>
        <w:pStyle w:val="MainBodyText"/>
        <w:rPr>
          <w:lang w:val="en-GB"/>
        </w:rPr>
      </w:pPr>
      <w:r w:rsidRPr="00E242D2">
        <w:rPr>
          <w:lang w:val="en-GB"/>
        </w:rPr>
        <w:object w:dxaOrig="1534" w:dyaOrig="991" w14:anchorId="598C6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Excel.Sheet.12" ShapeID="_x0000_i1025" DrawAspect="Icon" ObjectID="_1807390721" r:id="rId13"/>
        </w:object>
      </w:r>
    </w:p>
    <w:p w14:paraId="25624CCE" w14:textId="360CACF6" w:rsidR="00390021" w:rsidRPr="00E242D2" w:rsidRDefault="00390021" w:rsidP="00390021">
      <w:pPr>
        <w:pStyle w:val="MainTitel"/>
        <w:ind w:left="0"/>
        <w:rPr>
          <w:lang w:val="en-GB"/>
        </w:rPr>
      </w:pPr>
      <w:bookmarkStart w:id="32" w:name="_Toc100851890"/>
      <w:bookmarkStart w:id="33" w:name="_Toc195789360"/>
      <w:r w:rsidRPr="00E242D2">
        <w:rPr>
          <w:lang w:val="en-GB"/>
        </w:rPr>
        <w:t xml:space="preserve">Appendix B – List of elements </w:t>
      </w:r>
      <w:r w:rsidR="002C07B3" w:rsidRPr="00E242D2">
        <w:rPr>
          <w:lang w:val="en-GB"/>
        </w:rPr>
        <w:t xml:space="preserve">deprecated </w:t>
      </w:r>
      <w:r w:rsidRPr="00E242D2">
        <w:rPr>
          <w:lang w:val="en-GB"/>
        </w:rPr>
        <w:t xml:space="preserve">in IFRS </w:t>
      </w:r>
      <w:r w:rsidR="002C07B3" w:rsidRPr="00E242D2">
        <w:rPr>
          <w:lang w:val="en-GB"/>
        </w:rPr>
        <w:t>202</w:t>
      </w:r>
      <w:r w:rsidR="00C561A7" w:rsidRPr="00E242D2">
        <w:rPr>
          <w:lang w:val="en-GB"/>
        </w:rPr>
        <w:t>5</w:t>
      </w:r>
      <w:r w:rsidR="002C07B3" w:rsidRPr="00E242D2">
        <w:rPr>
          <w:lang w:val="en-GB"/>
        </w:rPr>
        <w:t xml:space="preserve"> </w:t>
      </w:r>
      <w:r w:rsidRPr="00E242D2">
        <w:rPr>
          <w:lang w:val="en-GB"/>
        </w:rPr>
        <w:t>taxonomy</w:t>
      </w:r>
      <w:bookmarkEnd w:id="32"/>
      <w:bookmarkEnd w:id="33"/>
    </w:p>
    <w:p w14:paraId="4729391A" w14:textId="799128B4" w:rsidR="00390021" w:rsidRPr="00E242D2" w:rsidRDefault="00390021" w:rsidP="00390021">
      <w:pPr>
        <w:pStyle w:val="MainBodyText"/>
        <w:spacing w:after="240"/>
        <w:ind w:left="142" w:right="132"/>
        <w:jc w:val="both"/>
        <w:rPr>
          <w:lang w:val="en-GB"/>
        </w:rPr>
      </w:pPr>
      <w:r w:rsidRPr="00E242D2">
        <w:rPr>
          <w:lang w:val="en-GB"/>
        </w:rPr>
        <w:t xml:space="preserve">The excel spreadsheet provides a complete list of all </w:t>
      </w:r>
      <w:r w:rsidR="00FE1B13" w:rsidRPr="00E242D2">
        <w:rPr>
          <w:lang w:val="en-GB"/>
        </w:rPr>
        <w:t>deprecated</w:t>
      </w:r>
      <w:r w:rsidRPr="00E242D2">
        <w:rPr>
          <w:lang w:val="en-GB"/>
        </w:rPr>
        <w:t xml:space="preserve"> elements from the IFRS </w:t>
      </w:r>
      <w:r w:rsidR="002C07B3" w:rsidRPr="00E242D2">
        <w:rPr>
          <w:lang w:val="en-GB"/>
        </w:rPr>
        <w:t>202</w:t>
      </w:r>
      <w:r w:rsidR="00C561A7" w:rsidRPr="00E242D2">
        <w:rPr>
          <w:lang w:val="en-GB"/>
        </w:rPr>
        <w:t>5</w:t>
      </w:r>
      <w:r w:rsidRPr="00E242D2">
        <w:rPr>
          <w:lang w:val="en-GB"/>
        </w:rPr>
        <w:t>:</w:t>
      </w:r>
    </w:p>
    <w:bookmarkStart w:id="34" w:name="_MON_1805793926"/>
    <w:bookmarkEnd w:id="34"/>
    <w:p w14:paraId="1380721D" w14:textId="05AD338C" w:rsidR="00390021" w:rsidRPr="00E242D2" w:rsidRDefault="005C07A9" w:rsidP="00390021">
      <w:pPr>
        <w:pStyle w:val="MainBodyText"/>
        <w:rPr>
          <w:lang w:val="en-GB"/>
        </w:rPr>
      </w:pPr>
      <w:r w:rsidRPr="00E242D2">
        <w:rPr>
          <w:lang w:val="en-GB"/>
        </w:rPr>
        <w:object w:dxaOrig="1534" w:dyaOrig="991" w14:anchorId="6A2E4E10">
          <v:shape id="_x0000_i1026" type="#_x0000_t75" style="width:76.5pt;height:49.5pt" o:ole="">
            <v:imagedata r:id="rId14" o:title=""/>
          </v:shape>
          <o:OLEObject Type="Embed" ProgID="Excel.Sheet.12" ShapeID="_x0000_i1026" DrawAspect="Icon" ObjectID="_1807390722" r:id="rId15"/>
        </w:object>
      </w:r>
    </w:p>
    <w:p w14:paraId="0C807710" w14:textId="5571E0B9" w:rsidR="002C07B3" w:rsidRPr="00E242D2" w:rsidRDefault="002C07B3" w:rsidP="002C07B3">
      <w:pPr>
        <w:pStyle w:val="MainTitel"/>
        <w:ind w:left="0"/>
        <w:rPr>
          <w:lang w:val="en-GB"/>
        </w:rPr>
      </w:pPr>
      <w:bookmarkStart w:id="35" w:name="_Toc195789361"/>
      <w:r w:rsidRPr="00E242D2">
        <w:rPr>
          <w:lang w:val="en-GB"/>
        </w:rPr>
        <w:t xml:space="preserve">Appendix </w:t>
      </w:r>
      <w:r w:rsidR="00617EA1" w:rsidRPr="00E242D2">
        <w:rPr>
          <w:lang w:val="en-GB"/>
        </w:rPr>
        <w:t>C</w:t>
      </w:r>
      <w:r w:rsidRPr="00E242D2">
        <w:rPr>
          <w:lang w:val="en-GB"/>
        </w:rPr>
        <w:t xml:space="preserve"> – List of elements modified in IFRS 202</w:t>
      </w:r>
      <w:r w:rsidR="00C561A7" w:rsidRPr="00E242D2">
        <w:rPr>
          <w:lang w:val="en-GB"/>
        </w:rPr>
        <w:t>5</w:t>
      </w:r>
      <w:r w:rsidRPr="00E242D2">
        <w:rPr>
          <w:lang w:val="en-GB"/>
        </w:rPr>
        <w:t xml:space="preserve"> taxonomy</w:t>
      </w:r>
      <w:bookmarkEnd w:id="35"/>
    </w:p>
    <w:p w14:paraId="37644AB3" w14:textId="49EDA7EF" w:rsidR="002C07B3" w:rsidRPr="00E242D2" w:rsidRDefault="002C07B3" w:rsidP="002C07B3">
      <w:pPr>
        <w:pStyle w:val="MainBodyText"/>
        <w:spacing w:after="240"/>
        <w:ind w:left="142" w:right="132"/>
        <w:jc w:val="both"/>
        <w:rPr>
          <w:lang w:val="en-GB"/>
        </w:rPr>
      </w:pPr>
      <w:r w:rsidRPr="00E242D2">
        <w:rPr>
          <w:lang w:val="en-GB"/>
        </w:rPr>
        <w:t>The excel spreadsheet provides a complete list of all modified elements from the IFRS 202</w:t>
      </w:r>
      <w:r w:rsidR="00C561A7" w:rsidRPr="00E242D2">
        <w:rPr>
          <w:lang w:val="en-GB"/>
        </w:rPr>
        <w:t>5</w:t>
      </w:r>
      <w:r w:rsidRPr="00E242D2">
        <w:rPr>
          <w:lang w:val="en-GB"/>
        </w:rPr>
        <w:t>:</w:t>
      </w:r>
    </w:p>
    <w:p w14:paraId="41570542" w14:textId="40BDBCC1" w:rsidR="002C07B3" w:rsidRPr="00E242D2" w:rsidRDefault="005C07A9" w:rsidP="00390021">
      <w:pPr>
        <w:pStyle w:val="MainBodyText"/>
        <w:rPr>
          <w:lang w:val="en-GB"/>
        </w:rPr>
      </w:pPr>
      <w:r w:rsidRPr="00E242D2">
        <w:rPr>
          <w:lang w:val="en-GB"/>
        </w:rPr>
        <w:object w:dxaOrig="1534" w:dyaOrig="991" w14:anchorId="342DF176">
          <v:shape id="_x0000_i1027" type="#_x0000_t75" style="width:76.5pt;height:49.5pt" o:ole="">
            <v:imagedata r:id="rId16" o:title=""/>
          </v:shape>
          <o:OLEObject Type="Embed" ProgID="Excel.Sheet.12" ShapeID="_x0000_i1027" DrawAspect="Icon" ObjectID="_1807390723" r:id="rId17"/>
        </w:object>
      </w:r>
    </w:p>
    <w:p w14:paraId="2D06C05D" w14:textId="7985AE06" w:rsidR="00390021" w:rsidRPr="00E242D2" w:rsidRDefault="00390021" w:rsidP="00521EF0">
      <w:pPr>
        <w:pStyle w:val="MainTitel"/>
        <w:ind w:left="0"/>
        <w:rPr>
          <w:lang w:val="en-GB"/>
        </w:rPr>
      </w:pPr>
      <w:bookmarkStart w:id="36" w:name="_Toc100851891"/>
      <w:bookmarkStart w:id="37" w:name="_Toc195789362"/>
      <w:r w:rsidRPr="00E242D2">
        <w:rPr>
          <w:lang w:val="en-GB"/>
        </w:rPr>
        <w:t xml:space="preserve">Appendix </w:t>
      </w:r>
      <w:r w:rsidR="006E11F4" w:rsidRPr="00E242D2">
        <w:rPr>
          <w:lang w:val="en-GB"/>
        </w:rPr>
        <w:t>D</w:t>
      </w:r>
      <w:r w:rsidRPr="00E242D2">
        <w:rPr>
          <w:lang w:val="en-GB"/>
        </w:rPr>
        <w:t xml:space="preserve"> – IFRS </w:t>
      </w:r>
      <w:r w:rsidR="00A22154" w:rsidRPr="00E242D2">
        <w:rPr>
          <w:lang w:val="en-GB"/>
        </w:rPr>
        <w:t xml:space="preserve">FULL </w:t>
      </w:r>
      <w:r w:rsidRPr="00E242D2">
        <w:rPr>
          <w:lang w:val="en-GB"/>
        </w:rPr>
        <w:t xml:space="preserve">taxonomy </w:t>
      </w:r>
      <w:r w:rsidR="005B3339" w:rsidRPr="00E242D2">
        <w:rPr>
          <w:lang w:val="en-GB"/>
        </w:rPr>
        <w:t>202</w:t>
      </w:r>
      <w:r w:rsidR="00C561A7" w:rsidRPr="00E242D2">
        <w:rPr>
          <w:lang w:val="en-GB"/>
        </w:rPr>
        <w:t>5</w:t>
      </w:r>
      <w:r w:rsidR="005B3339" w:rsidRPr="00E242D2">
        <w:rPr>
          <w:lang w:val="en-GB"/>
        </w:rPr>
        <w:t xml:space="preserve"> </w:t>
      </w:r>
      <w:r w:rsidR="00D20182" w:rsidRPr="00E242D2">
        <w:rPr>
          <w:lang w:val="en-GB"/>
        </w:rPr>
        <w:t xml:space="preserve">(early application of IFRS 18) </w:t>
      </w:r>
      <w:r w:rsidRPr="00E242D2">
        <w:rPr>
          <w:lang w:val="en-GB"/>
        </w:rPr>
        <w:t>versioning report</w:t>
      </w:r>
      <w:bookmarkEnd w:id="36"/>
      <w:bookmarkEnd w:id="37"/>
    </w:p>
    <w:p w14:paraId="0DDD39E9" w14:textId="6DB5A5A6" w:rsidR="006B55DC" w:rsidRPr="00E242D2" w:rsidRDefault="00154FB6" w:rsidP="00A22154">
      <w:pPr>
        <w:pStyle w:val="MainBodyText"/>
        <w:ind w:left="0"/>
        <w:rPr>
          <w:lang w:val="en-GB"/>
        </w:rPr>
      </w:pPr>
      <w:r w:rsidRPr="00E242D2">
        <w:rPr>
          <w:lang w:val="en-GB"/>
        </w:rPr>
        <w:t xml:space="preserve">  </w:t>
      </w:r>
    </w:p>
    <w:p w14:paraId="4B858FC8" w14:textId="1E679B53" w:rsidR="006B55DC" w:rsidRPr="00E242D2" w:rsidRDefault="00C561A7" w:rsidP="006B55DC">
      <w:pPr>
        <w:pStyle w:val="MainBodyText"/>
        <w:ind w:right="129"/>
        <w:jc w:val="both"/>
        <w:rPr>
          <w:lang w:val="en-GB"/>
        </w:rPr>
      </w:pPr>
      <w:r w:rsidRPr="00E242D2">
        <w:rPr>
          <w:lang w:val="en-GB"/>
        </w:rPr>
        <w:object w:dxaOrig="1534" w:dyaOrig="991" w14:anchorId="07BE812B">
          <v:shape id="_x0000_i1028" type="#_x0000_t75" style="width:76.5pt;height:49.5pt" o:ole="">
            <v:imagedata r:id="rId18" o:title=""/>
          </v:shape>
          <o:OLEObject Type="Embed" ProgID="Package" ShapeID="_x0000_i1028" DrawAspect="Icon" ObjectID="_1807390724" r:id="rId19"/>
        </w:object>
      </w:r>
    </w:p>
    <w:p w14:paraId="5358927C" w14:textId="04E873EB" w:rsidR="00A22154" w:rsidRPr="009242E3" w:rsidRDefault="00A22154" w:rsidP="004C1F69">
      <w:pPr>
        <w:pStyle w:val="Bulletlevel1"/>
        <w:numPr>
          <w:ilvl w:val="0"/>
          <w:numId w:val="0"/>
        </w:numPr>
        <w:ind w:right="558"/>
        <w:jc w:val="both"/>
        <w:rPr>
          <w:color w:val="595959" w:themeColor="accent5" w:themeShade="80"/>
          <w:sz w:val="18"/>
        </w:rPr>
      </w:pPr>
    </w:p>
    <w:sectPr w:rsidR="00A22154" w:rsidRPr="009242E3" w:rsidSect="00BC17AC">
      <w:headerReference w:type="default" r:id="rId20"/>
      <w:footerReference w:type="default" r:id="rId21"/>
      <w:pgSz w:w="11910" w:h="16840"/>
      <w:pgMar w:top="1060" w:right="2271" w:bottom="1180" w:left="600" w:header="720" w:footer="124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43692" w14:textId="77777777" w:rsidR="00B60A88" w:rsidRPr="00E242D2" w:rsidRDefault="00B60A88">
      <w:r w:rsidRPr="00E242D2">
        <w:separator/>
      </w:r>
    </w:p>
  </w:endnote>
  <w:endnote w:type="continuationSeparator" w:id="0">
    <w:p w14:paraId="710E815A" w14:textId="77777777" w:rsidR="00B60A88" w:rsidRPr="00E242D2" w:rsidRDefault="00B60A88">
      <w:r w:rsidRPr="00E242D2">
        <w:continuationSeparator/>
      </w:r>
    </w:p>
  </w:endnote>
  <w:endnote w:type="continuationNotice" w:id="1">
    <w:p w14:paraId="18165E10" w14:textId="77777777" w:rsidR="00B60A88" w:rsidRPr="00E242D2" w:rsidRDefault="00B60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CA4BBE1A-F0DC-45C4-B8F2-184C79B32C3F}"/>
    <w:embedBold r:id="rId2" w:fontKey="{1478900A-17B8-42C8-A881-44B0D4C5C5CF}"/>
    <w:embedItalic r:id="rId3" w:fontKey="{D19821B6-ACD6-4BA3-88D2-F3EBCD637175}"/>
  </w:font>
  <w:font w:name="Open Sans SemiBold">
    <w:charset w:val="00"/>
    <w:family w:val="swiss"/>
    <w:pitch w:val="variable"/>
    <w:sig w:usb0="E00002EF" w:usb1="4000205B" w:usb2="00000028" w:usb3="00000000" w:csb0="0000019F" w:csb1="00000000"/>
    <w:embedRegular r:id="rId4" w:fontKey="{60087157-4FA6-488C-9F89-A55B909ED2F5}"/>
    <w:embedBold r:id="rId5" w:fontKey="{5227F2DC-4736-49B5-BABD-59CE132B46A5}"/>
    <w:embedItalic r:id="rId6" w:fontKey="{B5A45690-1FDB-4271-AD0C-0E1E52E47E1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6CF6" w14:textId="6F5C2E5C" w:rsidR="009329D1" w:rsidRPr="00E242D2" w:rsidRDefault="009329D1">
    <w:pPr>
      <w:pStyle w:val="BodyText"/>
      <w:spacing w:line="14" w:lineRule="auto"/>
      <w:rPr>
        <w:sz w:val="20"/>
      </w:rPr>
    </w:pPr>
    <w:r w:rsidRPr="00E242D2">
      <w:rPr>
        <w:noProof/>
        <w:lang w:eastAsia="en-ZA" w:bidi="ar-SA"/>
      </w:rPr>
      <mc:AlternateContent>
        <mc:Choice Requires="wps">
          <w:drawing>
            <wp:anchor distT="0" distB="0" distL="114300" distR="114300" simplePos="0" relativeHeight="251658243" behindDoc="1" locked="0" layoutInCell="1" allowOverlap="1" wp14:anchorId="2E93F831" wp14:editId="7DA546B7">
              <wp:simplePos x="0" y="0"/>
              <wp:positionH relativeFrom="page">
                <wp:posOffset>427512</wp:posOffset>
              </wp:positionH>
              <wp:positionV relativeFrom="page">
                <wp:posOffset>10189029</wp:posOffset>
              </wp:positionV>
              <wp:extent cx="249382" cy="181610"/>
              <wp:effectExtent l="0" t="0" r="1778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B0AF" w14:textId="77777777" w:rsidR="009329D1" w:rsidRPr="00E242D2" w:rsidRDefault="009329D1">
                          <w:pPr>
                            <w:spacing w:before="20"/>
                            <w:ind w:left="40"/>
                            <w:rPr>
                              <w:sz w:val="18"/>
                            </w:rPr>
                          </w:pPr>
                          <w:r w:rsidRPr="00E242D2">
                            <w:fldChar w:fldCharType="begin"/>
                          </w:r>
                          <w:r w:rsidRPr="00E242D2">
                            <w:rPr>
                              <w:color w:val="386193"/>
                              <w:sz w:val="18"/>
                            </w:rPr>
                            <w:instrText xml:space="preserve"> PAGE </w:instrText>
                          </w:r>
                          <w:r w:rsidRPr="00E242D2">
                            <w:fldChar w:fldCharType="separate"/>
                          </w:r>
                          <w:r w:rsidRPr="00E242D2">
                            <w:rPr>
                              <w:color w:val="386193"/>
                              <w:sz w:val="18"/>
                            </w:rPr>
                            <w:t>18</w:t>
                          </w:r>
                          <w:r w:rsidRPr="00E242D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3F831" id="_x0000_t202" coordsize="21600,21600" o:spt="202" path="m,l,21600r21600,l21600,xe">
              <v:stroke joinstyle="miter"/>
              <v:path gradientshapeok="t" o:connecttype="rect"/>
            </v:shapetype>
            <v:shape id="Text Box 4" o:spid="_x0000_s1026" type="#_x0000_t202" style="position:absolute;margin-left:33.65pt;margin-top:802.3pt;width:19.65pt;height:14.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" filled="f" stroked="f">
              <v:textbox inset="0,0,0,0">
                <w:txbxContent>
                  <w:p w14:paraId="3EA5B0AF" w14:textId="77777777" w:rsidR="009329D1" w:rsidRPr="00E242D2" w:rsidRDefault="009329D1">
                    <w:pPr>
                      <w:spacing w:before="20"/>
                      <w:ind w:left="40"/>
                      <w:rPr>
                        <w:sz w:val="18"/>
                      </w:rPr>
                    </w:pPr>
                    <w:r w:rsidRPr="00E242D2">
                      <w:fldChar w:fldCharType="begin"/>
                    </w:r>
                    <w:r w:rsidRPr="00E242D2">
                      <w:rPr>
                        <w:color w:val="386193"/>
                        <w:sz w:val="18"/>
                      </w:rPr>
                      <w:instrText xml:space="preserve"> PAGE </w:instrText>
                    </w:r>
                    <w:r w:rsidRPr="00E242D2">
                      <w:fldChar w:fldCharType="separate"/>
                    </w:r>
                    <w:r w:rsidRPr="00E242D2">
                      <w:rPr>
                        <w:color w:val="386193"/>
                        <w:sz w:val="18"/>
                      </w:rPr>
                      <w:t>18</w:t>
                    </w:r>
                    <w:r w:rsidRPr="00E242D2">
                      <w:fldChar w:fldCharType="end"/>
                    </w:r>
                  </w:p>
                </w:txbxContent>
              </v:textbox>
              <w10:wrap anchorx="page" anchory="page"/>
            </v:shape>
          </w:pict>
        </mc:Fallback>
      </mc:AlternateContent>
    </w:r>
    <w:r w:rsidRPr="00E242D2">
      <w:rPr>
        <w:noProof/>
        <w:lang w:eastAsia="en-ZA" w:bidi="ar-SA"/>
      </w:rPr>
      <w:drawing>
        <wp:anchor distT="0" distB="0" distL="114300" distR="114300" simplePos="0" relativeHeight="251658244" behindDoc="1" locked="0" layoutInCell="1" allowOverlap="1" wp14:anchorId="4896CF4B" wp14:editId="5C9B50FA">
          <wp:simplePos x="0" y="0"/>
          <wp:positionH relativeFrom="column">
            <wp:posOffset>6186170</wp:posOffset>
          </wp:positionH>
          <wp:positionV relativeFrom="paragraph">
            <wp:posOffset>-6184</wp:posOffset>
          </wp:positionV>
          <wp:extent cx="1037193" cy="212757"/>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37193" cy="21275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91E3B" w14:textId="77777777" w:rsidR="00B60A88" w:rsidRPr="00E242D2" w:rsidRDefault="00B60A88">
      <w:r w:rsidRPr="00E242D2">
        <w:separator/>
      </w:r>
    </w:p>
  </w:footnote>
  <w:footnote w:type="continuationSeparator" w:id="0">
    <w:p w14:paraId="7B9C98EA" w14:textId="77777777" w:rsidR="00B60A88" w:rsidRPr="00E242D2" w:rsidRDefault="00B60A88">
      <w:r w:rsidRPr="00E242D2">
        <w:continuationSeparator/>
      </w:r>
    </w:p>
  </w:footnote>
  <w:footnote w:type="continuationNotice" w:id="1">
    <w:p w14:paraId="2F8476A4" w14:textId="77777777" w:rsidR="00B60A88" w:rsidRPr="00E242D2" w:rsidRDefault="00B60A88"/>
  </w:footnote>
  <w:footnote w:id="2">
    <w:p w14:paraId="09041ABF" w14:textId="07512FA6" w:rsidR="009329D1" w:rsidRPr="00115234" w:rsidRDefault="009329D1">
      <w:pPr>
        <w:pStyle w:val="FootnoteText"/>
        <w:rPr>
          <w:lang w:val="en-US"/>
        </w:rPr>
      </w:pPr>
      <w:r w:rsidRPr="00E242D2">
        <w:rPr>
          <w:rStyle w:val="FootnoteReference"/>
        </w:rPr>
        <w:footnoteRef/>
      </w:r>
      <w:r w:rsidRPr="00E242D2">
        <w:t xml:space="preserve"> </w:t>
      </w:r>
      <w:r w:rsidR="00725157" w:rsidRPr="00E242D2">
        <w:rPr>
          <w:sz w:val="16"/>
          <w:szCs w:val="16"/>
        </w:rPr>
        <w:t>See</w:t>
      </w:r>
      <w:r w:rsidR="00725157" w:rsidRPr="00E242D2">
        <w:rPr>
          <w:sz w:val="12"/>
          <w:szCs w:val="12"/>
        </w:rPr>
        <w:t>:</w:t>
      </w:r>
      <w:r w:rsidR="00725157" w:rsidRPr="00E242D2">
        <w:rPr>
          <w:sz w:val="10"/>
          <w:szCs w:val="10"/>
        </w:rPr>
        <w:t xml:space="preserve"> </w:t>
      </w:r>
      <w:r w:rsidR="002447D3" w:rsidRPr="00E242D2">
        <w:rPr>
          <w:sz w:val="16"/>
          <w:szCs w:val="16"/>
        </w:rPr>
        <w:t>https://www.ifrs.org/issued-standards/ifrs-taxonomy/ifrs-accounting-taxonomy-2025/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8EFDE" w14:textId="15207428" w:rsidR="009329D1" w:rsidRPr="00E242D2" w:rsidRDefault="009329D1" w:rsidP="00626778">
    <w:pPr>
      <w:pStyle w:val="Header"/>
      <w:jc w:val="right"/>
    </w:pPr>
    <w:r w:rsidRPr="00E242D2">
      <w:rPr>
        <w:noProof/>
        <w:lang w:eastAsia="en-ZA" w:bidi="ar-SA"/>
      </w:rPr>
      <w:drawing>
        <wp:anchor distT="0" distB="0" distL="0" distR="0" simplePos="0" relativeHeight="251658242" behindDoc="1" locked="0" layoutInCell="1" allowOverlap="1" wp14:anchorId="3EC0CCC0" wp14:editId="5A1F1AA6">
          <wp:simplePos x="0" y="0"/>
          <wp:positionH relativeFrom="page">
            <wp:posOffset>6786245</wp:posOffset>
          </wp:positionH>
          <wp:positionV relativeFrom="page">
            <wp:posOffset>434975</wp:posOffset>
          </wp:positionV>
          <wp:extent cx="92710" cy="13716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2710" cy="137160"/>
                  </a:xfrm>
                  <a:prstGeom prst="rect">
                    <a:avLst/>
                  </a:prstGeom>
                </pic:spPr>
              </pic:pic>
            </a:graphicData>
          </a:graphic>
          <wp14:sizeRelH relativeFrom="margin">
            <wp14:pctWidth>0</wp14:pctWidth>
          </wp14:sizeRelH>
          <wp14:sizeRelV relativeFrom="margin">
            <wp14:pctHeight>0</wp14:pctHeight>
          </wp14:sizeRelV>
        </wp:anchor>
      </w:drawing>
    </w:r>
    <w:r w:rsidRPr="00E242D2">
      <w:rPr>
        <w:noProof/>
        <w:lang w:eastAsia="en-ZA" w:bidi="ar-SA"/>
      </w:rPr>
      <w:drawing>
        <wp:anchor distT="0" distB="0" distL="0" distR="0" simplePos="0" relativeHeight="251658240" behindDoc="1" locked="0" layoutInCell="1" allowOverlap="1" wp14:anchorId="74405F66" wp14:editId="5062B0E3">
          <wp:simplePos x="0" y="0"/>
          <wp:positionH relativeFrom="page">
            <wp:posOffset>6612255</wp:posOffset>
          </wp:positionH>
          <wp:positionV relativeFrom="page">
            <wp:posOffset>429260</wp:posOffset>
          </wp:positionV>
          <wp:extent cx="142875" cy="14224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42875" cy="142240"/>
                  </a:xfrm>
                  <a:prstGeom prst="rect">
                    <a:avLst/>
                  </a:prstGeom>
                </pic:spPr>
              </pic:pic>
            </a:graphicData>
          </a:graphic>
          <wp14:sizeRelH relativeFrom="margin">
            <wp14:pctWidth>0</wp14:pctWidth>
          </wp14:sizeRelH>
          <wp14:sizeRelV relativeFrom="margin">
            <wp14:pctHeight>0</wp14:pctHeight>
          </wp14:sizeRelV>
        </wp:anchor>
      </w:drawing>
    </w:r>
    <w:r w:rsidRPr="00E242D2">
      <w:rPr>
        <w:noProof/>
        <w:lang w:eastAsia="en-ZA" w:bidi="ar-SA"/>
      </w:rPr>
      <w:drawing>
        <wp:anchor distT="0" distB="0" distL="0" distR="0" simplePos="0" relativeHeight="251658241" behindDoc="1" locked="0" layoutInCell="1" allowOverlap="1" wp14:anchorId="53BE7EDC" wp14:editId="4E159F7A">
          <wp:simplePos x="0" y="0"/>
          <wp:positionH relativeFrom="page">
            <wp:posOffset>6901180</wp:posOffset>
          </wp:positionH>
          <wp:positionV relativeFrom="page">
            <wp:posOffset>432596</wp:posOffset>
          </wp:positionV>
          <wp:extent cx="342900" cy="1409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342900" cy="140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26E84"/>
    <w:multiLevelType w:val="hybridMultilevel"/>
    <w:tmpl w:val="B15A3DF6"/>
    <w:lvl w:ilvl="0" w:tplc="F6247562">
      <w:start w:val="1"/>
      <w:numFmt w:val="decimal"/>
      <w:lvlText w:val="%1."/>
      <w:lvlJc w:val="left"/>
      <w:pPr>
        <w:ind w:left="688" w:hanging="360"/>
      </w:pPr>
      <w:rPr>
        <w:rFonts w:hint="default"/>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 w15:restartNumberingAfterBreak="0">
    <w:nsid w:val="0305066D"/>
    <w:multiLevelType w:val="multilevel"/>
    <w:tmpl w:val="55E8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46860"/>
    <w:multiLevelType w:val="hybridMultilevel"/>
    <w:tmpl w:val="605AC1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1E6534"/>
    <w:multiLevelType w:val="hybridMultilevel"/>
    <w:tmpl w:val="7736DDD0"/>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08CE03C6"/>
    <w:multiLevelType w:val="hybridMultilevel"/>
    <w:tmpl w:val="FD3A4B0A"/>
    <w:lvl w:ilvl="0" w:tplc="149887C0">
      <w:start w:val="1"/>
      <w:numFmt w:val="decimal"/>
      <w:pStyle w:val="Chapter"/>
      <w:lvlText w:val="%1."/>
      <w:lvlJc w:val="left"/>
      <w:pPr>
        <w:ind w:left="397" w:hanging="397"/>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B97262"/>
    <w:multiLevelType w:val="multilevel"/>
    <w:tmpl w:val="B42694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D0D03"/>
    <w:multiLevelType w:val="hybridMultilevel"/>
    <w:tmpl w:val="F02EB062"/>
    <w:lvl w:ilvl="0" w:tplc="08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 w15:restartNumberingAfterBreak="0">
    <w:nsid w:val="0E034B07"/>
    <w:multiLevelType w:val="hybridMultilevel"/>
    <w:tmpl w:val="3580D43A"/>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8" w15:restartNumberingAfterBreak="0">
    <w:nsid w:val="0FBB2BB8"/>
    <w:multiLevelType w:val="hybridMultilevel"/>
    <w:tmpl w:val="00AE805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0F404E8"/>
    <w:multiLevelType w:val="hybridMultilevel"/>
    <w:tmpl w:val="CD389980"/>
    <w:lvl w:ilvl="0" w:tplc="04090001">
      <w:start w:val="1"/>
      <w:numFmt w:val="bullet"/>
      <w:lvlText w:val=""/>
      <w:lvlJc w:val="left"/>
      <w:pPr>
        <w:ind w:left="885" w:hanging="360"/>
      </w:pPr>
      <w:rPr>
        <w:rFonts w:ascii="Symbol" w:hAnsi="Symbol" w:cs="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cs="Wingdings" w:hint="default"/>
      </w:rPr>
    </w:lvl>
    <w:lvl w:ilvl="3" w:tplc="04090001" w:tentative="1">
      <w:start w:val="1"/>
      <w:numFmt w:val="bullet"/>
      <w:lvlText w:val=""/>
      <w:lvlJc w:val="left"/>
      <w:pPr>
        <w:ind w:left="3045" w:hanging="360"/>
      </w:pPr>
      <w:rPr>
        <w:rFonts w:ascii="Symbol" w:hAnsi="Symbol" w:cs="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cs="Wingdings" w:hint="default"/>
      </w:rPr>
    </w:lvl>
    <w:lvl w:ilvl="6" w:tplc="04090001" w:tentative="1">
      <w:start w:val="1"/>
      <w:numFmt w:val="bullet"/>
      <w:lvlText w:val=""/>
      <w:lvlJc w:val="left"/>
      <w:pPr>
        <w:ind w:left="5205" w:hanging="360"/>
      </w:pPr>
      <w:rPr>
        <w:rFonts w:ascii="Symbol" w:hAnsi="Symbol" w:cs="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cs="Wingdings" w:hint="default"/>
      </w:rPr>
    </w:lvl>
  </w:abstractNum>
  <w:abstractNum w:abstractNumId="10" w15:restartNumberingAfterBreak="0">
    <w:nsid w:val="18AD4AA9"/>
    <w:multiLevelType w:val="hybridMultilevel"/>
    <w:tmpl w:val="03AC15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1C842FAD"/>
    <w:multiLevelType w:val="hybridMultilevel"/>
    <w:tmpl w:val="323228D4"/>
    <w:lvl w:ilvl="0" w:tplc="7730CBA0">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2" w15:restartNumberingAfterBreak="0">
    <w:nsid w:val="1F85737E"/>
    <w:multiLevelType w:val="hybridMultilevel"/>
    <w:tmpl w:val="A11E6316"/>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214502E2"/>
    <w:multiLevelType w:val="hybridMultilevel"/>
    <w:tmpl w:val="F5F747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3356B92"/>
    <w:multiLevelType w:val="hybridMultilevel"/>
    <w:tmpl w:val="4198CD7A"/>
    <w:lvl w:ilvl="0" w:tplc="041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E30C6C"/>
    <w:multiLevelType w:val="multilevel"/>
    <w:tmpl w:val="8C041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EE4D7E"/>
    <w:multiLevelType w:val="hybridMultilevel"/>
    <w:tmpl w:val="4080C9E8"/>
    <w:lvl w:ilvl="0" w:tplc="04150005">
      <w:start w:val="1"/>
      <w:numFmt w:val="bullet"/>
      <w:lvlText w:val=""/>
      <w:lvlJc w:val="left"/>
      <w:pPr>
        <w:ind w:left="862" w:hanging="360"/>
      </w:pPr>
      <w:rPr>
        <w:rFonts w:ascii="Wingdings" w:hAnsi="Wingding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7" w15:restartNumberingAfterBreak="0">
    <w:nsid w:val="2E4555A4"/>
    <w:multiLevelType w:val="hybridMultilevel"/>
    <w:tmpl w:val="84F08704"/>
    <w:lvl w:ilvl="0" w:tplc="04090005">
      <w:start w:val="1"/>
      <w:numFmt w:val="bullet"/>
      <w:lvlText w:val=""/>
      <w:lvlJc w:val="left"/>
      <w:pPr>
        <w:ind w:left="1038" w:hanging="360"/>
      </w:pPr>
      <w:rPr>
        <w:rFonts w:ascii="Wingdings" w:hAnsi="Wingdings" w:hint="default"/>
      </w:rPr>
    </w:lvl>
    <w:lvl w:ilvl="1" w:tplc="04090003">
      <w:start w:val="1"/>
      <w:numFmt w:val="bullet"/>
      <w:lvlText w:val="o"/>
      <w:lvlJc w:val="left"/>
      <w:pPr>
        <w:ind w:left="1758" w:hanging="360"/>
      </w:pPr>
      <w:rPr>
        <w:rFonts w:ascii="Courier New" w:hAnsi="Courier New" w:cs="Courier New" w:hint="default"/>
      </w:rPr>
    </w:lvl>
    <w:lvl w:ilvl="2" w:tplc="04090005">
      <w:start w:val="1"/>
      <w:numFmt w:val="bullet"/>
      <w:lvlText w:val=""/>
      <w:lvlJc w:val="left"/>
      <w:pPr>
        <w:ind w:left="2478" w:hanging="360"/>
      </w:pPr>
      <w:rPr>
        <w:rFonts w:ascii="Wingdings" w:hAnsi="Wingdings" w:hint="default"/>
      </w:rPr>
    </w:lvl>
    <w:lvl w:ilvl="3" w:tplc="04090001">
      <w:start w:val="1"/>
      <w:numFmt w:val="bullet"/>
      <w:lvlText w:val=""/>
      <w:lvlJc w:val="left"/>
      <w:pPr>
        <w:ind w:left="3198" w:hanging="360"/>
      </w:pPr>
      <w:rPr>
        <w:rFonts w:ascii="Symbol" w:hAnsi="Symbol" w:hint="default"/>
      </w:rPr>
    </w:lvl>
    <w:lvl w:ilvl="4" w:tplc="04090003">
      <w:start w:val="1"/>
      <w:numFmt w:val="bullet"/>
      <w:lvlText w:val="o"/>
      <w:lvlJc w:val="left"/>
      <w:pPr>
        <w:ind w:left="3918" w:hanging="360"/>
      </w:pPr>
      <w:rPr>
        <w:rFonts w:ascii="Courier New" w:hAnsi="Courier New" w:cs="Courier New" w:hint="default"/>
      </w:rPr>
    </w:lvl>
    <w:lvl w:ilvl="5" w:tplc="04090005">
      <w:start w:val="1"/>
      <w:numFmt w:val="bullet"/>
      <w:lvlText w:val=""/>
      <w:lvlJc w:val="left"/>
      <w:pPr>
        <w:ind w:left="4638" w:hanging="360"/>
      </w:pPr>
      <w:rPr>
        <w:rFonts w:ascii="Wingdings" w:hAnsi="Wingdings" w:hint="default"/>
      </w:rPr>
    </w:lvl>
    <w:lvl w:ilvl="6" w:tplc="04090001">
      <w:start w:val="1"/>
      <w:numFmt w:val="bullet"/>
      <w:lvlText w:val=""/>
      <w:lvlJc w:val="left"/>
      <w:pPr>
        <w:ind w:left="5358" w:hanging="360"/>
      </w:pPr>
      <w:rPr>
        <w:rFonts w:ascii="Symbol" w:hAnsi="Symbol" w:hint="default"/>
      </w:rPr>
    </w:lvl>
    <w:lvl w:ilvl="7" w:tplc="04090003">
      <w:start w:val="1"/>
      <w:numFmt w:val="bullet"/>
      <w:lvlText w:val="o"/>
      <w:lvlJc w:val="left"/>
      <w:pPr>
        <w:ind w:left="6078" w:hanging="360"/>
      </w:pPr>
      <w:rPr>
        <w:rFonts w:ascii="Courier New" w:hAnsi="Courier New" w:cs="Courier New" w:hint="default"/>
      </w:rPr>
    </w:lvl>
    <w:lvl w:ilvl="8" w:tplc="04090005">
      <w:start w:val="1"/>
      <w:numFmt w:val="bullet"/>
      <w:lvlText w:val=""/>
      <w:lvlJc w:val="left"/>
      <w:pPr>
        <w:ind w:left="6798" w:hanging="360"/>
      </w:pPr>
      <w:rPr>
        <w:rFonts w:ascii="Wingdings" w:hAnsi="Wingdings" w:hint="default"/>
      </w:rPr>
    </w:lvl>
  </w:abstractNum>
  <w:abstractNum w:abstractNumId="18" w15:restartNumberingAfterBreak="0">
    <w:nsid w:val="2E5A7993"/>
    <w:multiLevelType w:val="hybridMultilevel"/>
    <w:tmpl w:val="193ECE5A"/>
    <w:lvl w:ilvl="0" w:tplc="260AA3F2">
      <w:start w:val="1"/>
      <w:numFmt w:val="upperRoman"/>
      <w:lvlText w:val="%1."/>
      <w:lvlJc w:val="left"/>
      <w:pPr>
        <w:ind w:left="837" w:hanging="72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9" w15:restartNumberingAfterBreak="0">
    <w:nsid w:val="380E303F"/>
    <w:multiLevelType w:val="hybridMultilevel"/>
    <w:tmpl w:val="3B5A6E10"/>
    <w:lvl w:ilvl="0" w:tplc="0415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8277D5C"/>
    <w:multiLevelType w:val="hybridMultilevel"/>
    <w:tmpl w:val="F01AD742"/>
    <w:lvl w:ilvl="0" w:tplc="04090001">
      <w:start w:val="1"/>
      <w:numFmt w:val="bullet"/>
      <w:lvlText w:val=""/>
      <w:lvlJc w:val="left"/>
      <w:pPr>
        <w:ind w:left="840" w:hanging="360"/>
      </w:pPr>
      <w:rPr>
        <w:rFonts w:ascii="Symbol" w:hAnsi="Symbol" w:cs="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cs="Wingdings" w:hint="default"/>
      </w:rPr>
    </w:lvl>
    <w:lvl w:ilvl="3" w:tplc="04090001" w:tentative="1">
      <w:start w:val="1"/>
      <w:numFmt w:val="bullet"/>
      <w:lvlText w:val=""/>
      <w:lvlJc w:val="left"/>
      <w:pPr>
        <w:ind w:left="3000" w:hanging="360"/>
      </w:pPr>
      <w:rPr>
        <w:rFonts w:ascii="Symbol" w:hAnsi="Symbol" w:cs="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cs="Wingdings" w:hint="default"/>
      </w:rPr>
    </w:lvl>
    <w:lvl w:ilvl="6" w:tplc="04090001" w:tentative="1">
      <w:start w:val="1"/>
      <w:numFmt w:val="bullet"/>
      <w:lvlText w:val=""/>
      <w:lvlJc w:val="left"/>
      <w:pPr>
        <w:ind w:left="5160" w:hanging="360"/>
      </w:pPr>
      <w:rPr>
        <w:rFonts w:ascii="Symbol" w:hAnsi="Symbol" w:cs="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cs="Wingdings" w:hint="default"/>
      </w:rPr>
    </w:lvl>
  </w:abstractNum>
  <w:abstractNum w:abstractNumId="21" w15:restartNumberingAfterBreak="0">
    <w:nsid w:val="38E90C20"/>
    <w:multiLevelType w:val="hybridMultilevel"/>
    <w:tmpl w:val="9BD8343C"/>
    <w:lvl w:ilvl="0" w:tplc="04090001">
      <w:start w:val="1"/>
      <w:numFmt w:val="bullet"/>
      <w:lvlText w:val=""/>
      <w:lvlJc w:val="left"/>
      <w:pPr>
        <w:ind w:left="840" w:hanging="360"/>
      </w:pPr>
      <w:rPr>
        <w:rFonts w:ascii="Symbol" w:hAnsi="Symbol" w:cs="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cs="Wingdings" w:hint="default"/>
      </w:rPr>
    </w:lvl>
    <w:lvl w:ilvl="3" w:tplc="04090001" w:tentative="1">
      <w:start w:val="1"/>
      <w:numFmt w:val="bullet"/>
      <w:lvlText w:val=""/>
      <w:lvlJc w:val="left"/>
      <w:pPr>
        <w:ind w:left="3000" w:hanging="360"/>
      </w:pPr>
      <w:rPr>
        <w:rFonts w:ascii="Symbol" w:hAnsi="Symbol" w:cs="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cs="Wingdings" w:hint="default"/>
      </w:rPr>
    </w:lvl>
    <w:lvl w:ilvl="6" w:tplc="04090001" w:tentative="1">
      <w:start w:val="1"/>
      <w:numFmt w:val="bullet"/>
      <w:lvlText w:val=""/>
      <w:lvlJc w:val="left"/>
      <w:pPr>
        <w:ind w:left="5160" w:hanging="360"/>
      </w:pPr>
      <w:rPr>
        <w:rFonts w:ascii="Symbol" w:hAnsi="Symbol" w:cs="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cs="Wingdings" w:hint="default"/>
      </w:rPr>
    </w:lvl>
  </w:abstractNum>
  <w:abstractNum w:abstractNumId="22" w15:restartNumberingAfterBreak="0">
    <w:nsid w:val="3A95329B"/>
    <w:multiLevelType w:val="hybridMultilevel"/>
    <w:tmpl w:val="1D525B6A"/>
    <w:lvl w:ilvl="0" w:tplc="C512BB1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3BD2255C"/>
    <w:multiLevelType w:val="hybridMultilevel"/>
    <w:tmpl w:val="29865470"/>
    <w:lvl w:ilvl="0" w:tplc="0809000F">
      <w:start w:val="1"/>
      <w:numFmt w:val="decimal"/>
      <w:lvlText w:val="%1."/>
      <w:lvlJc w:val="left"/>
      <w:pPr>
        <w:ind w:left="862" w:hanging="360"/>
      </w:pPr>
      <w:rPr>
        <w:rFont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 w15:restartNumberingAfterBreak="0">
    <w:nsid w:val="40762E19"/>
    <w:multiLevelType w:val="hybridMultilevel"/>
    <w:tmpl w:val="963AB8D2"/>
    <w:lvl w:ilvl="0" w:tplc="FBBCFA34">
      <w:start w:val="1"/>
      <w:numFmt w:val="decimal"/>
      <w:lvlText w:val="%1)"/>
      <w:lvlJc w:val="left"/>
      <w:pPr>
        <w:ind w:left="720" w:hanging="360"/>
      </w:pPr>
      <w:rPr>
        <w:rFonts w:asciiTheme="minorHAnsi" w:eastAsiaTheme="minorHAnsi" w:hAnsiTheme="minorHAnsi" w:cstheme="minorBidi"/>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C57D44"/>
    <w:multiLevelType w:val="hybridMultilevel"/>
    <w:tmpl w:val="E9842930"/>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6" w15:restartNumberingAfterBreak="0">
    <w:nsid w:val="40EA1517"/>
    <w:multiLevelType w:val="hybridMultilevel"/>
    <w:tmpl w:val="918077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18B3036"/>
    <w:multiLevelType w:val="hybridMultilevel"/>
    <w:tmpl w:val="6C264C5E"/>
    <w:lvl w:ilvl="0" w:tplc="44EA1F70">
      <w:start w:val="1"/>
      <w:numFmt w:val="bullet"/>
      <w:lvlText w:val=""/>
      <w:lvlJc w:val="left"/>
      <w:pPr>
        <w:tabs>
          <w:tab w:val="num" w:pos="720"/>
        </w:tabs>
        <w:ind w:left="720" w:hanging="360"/>
      </w:pPr>
      <w:rPr>
        <w:rFonts w:ascii="Wingdings" w:hAnsi="Wingdings" w:hint="default"/>
      </w:rPr>
    </w:lvl>
    <w:lvl w:ilvl="1" w:tplc="7C7C26E0" w:tentative="1">
      <w:start w:val="1"/>
      <w:numFmt w:val="bullet"/>
      <w:lvlText w:val=""/>
      <w:lvlJc w:val="left"/>
      <w:pPr>
        <w:tabs>
          <w:tab w:val="num" w:pos="1440"/>
        </w:tabs>
        <w:ind w:left="1440" w:hanging="360"/>
      </w:pPr>
      <w:rPr>
        <w:rFonts w:ascii="Wingdings" w:hAnsi="Wingdings" w:hint="default"/>
      </w:rPr>
    </w:lvl>
    <w:lvl w:ilvl="2" w:tplc="A240EDCA" w:tentative="1">
      <w:start w:val="1"/>
      <w:numFmt w:val="bullet"/>
      <w:lvlText w:val=""/>
      <w:lvlJc w:val="left"/>
      <w:pPr>
        <w:tabs>
          <w:tab w:val="num" w:pos="2160"/>
        </w:tabs>
        <w:ind w:left="2160" w:hanging="360"/>
      </w:pPr>
      <w:rPr>
        <w:rFonts w:ascii="Wingdings" w:hAnsi="Wingdings" w:hint="default"/>
      </w:rPr>
    </w:lvl>
    <w:lvl w:ilvl="3" w:tplc="098C9EAC" w:tentative="1">
      <w:start w:val="1"/>
      <w:numFmt w:val="bullet"/>
      <w:lvlText w:val=""/>
      <w:lvlJc w:val="left"/>
      <w:pPr>
        <w:tabs>
          <w:tab w:val="num" w:pos="2880"/>
        </w:tabs>
        <w:ind w:left="2880" w:hanging="360"/>
      </w:pPr>
      <w:rPr>
        <w:rFonts w:ascii="Wingdings" w:hAnsi="Wingdings" w:hint="default"/>
      </w:rPr>
    </w:lvl>
    <w:lvl w:ilvl="4" w:tplc="932ED6D0" w:tentative="1">
      <w:start w:val="1"/>
      <w:numFmt w:val="bullet"/>
      <w:lvlText w:val=""/>
      <w:lvlJc w:val="left"/>
      <w:pPr>
        <w:tabs>
          <w:tab w:val="num" w:pos="3600"/>
        </w:tabs>
        <w:ind w:left="3600" w:hanging="360"/>
      </w:pPr>
      <w:rPr>
        <w:rFonts w:ascii="Wingdings" w:hAnsi="Wingdings" w:hint="default"/>
      </w:rPr>
    </w:lvl>
    <w:lvl w:ilvl="5" w:tplc="89E6B73C" w:tentative="1">
      <w:start w:val="1"/>
      <w:numFmt w:val="bullet"/>
      <w:lvlText w:val=""/>
      <w:lvlJc w:val="left"/>
      <w:pPr>
        <w:tabs>
          <w:tab w:val="num" w:pos="4320"/>
        </w:tabs>
        <w:ind w:left="4320" w:hanging="360"/>
      </w:pPr>
      <w:rPr>
        <w:rFonts w:ascii="Wingdings" w:hAnsi="Wingdings" w:hint="default"/>
      </w:rPr>
    </w:lvl>
    <w:lvl w:ilvl="6" w:tplc="0428EE48" w:tentative="1">
      <w:start w:val="1"/>
      <w:numFmt w:val="bullet"/>
      <w:lvlText w:val=""/>
      <w:lvlJc w:val="left"/>
      <w:pPr>
        <w:tabs>
          <w:tab w:val="num" w:pos="5040"/>
        </w:tabs>
        <w:ind w:left="5040" w:hanging="360"/>
      </w:pPr>
      <w:rPr>
        <w:rFonts w:ascii="Wingdings" w:hAnsi="Wingdings" w:hint="default"/>
      </w:rPr>
    </w:lvl>
    <w:lvl w:ilvl="7" w:tplc="06CC386C" w:tentative="1">
      <w:start w:val="1"/>
      <w:numFmt w:val="bullet"/>
      <w:lvlText w:val=""/>
      <w:lvlJc w:val="left"/>
      <w:pPr>
        <w:tabs>
          <w:tab w:val="num" w:pos="5760"/>
        </w:tabs>
        <w:ind w:left="5760" w:hanging="360"/>
      </w:pPr>
      <w:rPr>
        <w:rFonts w:ascii="Wingdings" w:hAnsi="Wingdings" w:hint="default"/>
      </w:rPr>
    </w:lvl>
    <w:lvl w:ilvl="8" w:tplc="06286F3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3B33AA"/>
    <w:multiLevelType w:val="hybridMultilevel"/>
    <w:tmpl w:val="895CF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0F0E5C"/>
    <w:multiLevelType w:val="hybridMultilevel"/>
    <w:tmpl w:val="F996AEA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49C019E4"/>
    <w:multiLevelType w:val="hybridMultilevel"/>
    <w:tmpl w:val="D892E258"/>
    <w:lvl w:ilvl="0" w:tplc="FD2C2DD0">
      <w:numFmt w:val="bullet"/>
      <w:pStyle w:val="Bulletlevel1"/>
      <w:lvlText w:val="•"/>
      <w:lvlJc w:val="left"/>
      <w:pPr>
        <w:ind w:left="302" w:hanging="183"/>
      </w:pPr>
      <w:rPr>
        <w:rFonts w:ascii="Open Sans" w:eastAsia="Open Sans" w:hAnsi="Open Sans" w:cs="Open Sans" w:hint="default"/>
        <w:color w:val="575756"/>
        <w:spacing w:val="-1"/>
        <w:w w:val="100"/>
        <w:sz w:val="20"/>
        <w:szCs w:val="20"/>
        <w:lang w:val="en-GB" w:eastAsia="en-GB" w:bidi="en-GB"/>
      </w:rPr>
    </w:lvl>
    <w:lvl w:ilvl="1" w:tplc="16CCDA3E">
      <w:numFmt w:val="bullet"/>
      <w:pStyle w:val="Bulletlevel2"/>
      <w:lvlText w:val="•"/>
      <w:lvlJc w:val="left"/>
      <w:pPr>
        <w:ind w:left="460" w:hanging="183"/>
      </w:pPr>
      <w:rPr>
        <w:rFonts w:ascii="Open Sans" w:eastAsia="Open Sans" w:hAnsi="Open Sans" w:cs="Open Sans" w:hint="default"/>
        <w:color w:val="575756"/>
        <w:w w:val="100"/>
        <w:sz w:val="20"/>
        <w:szCs w:val="20"/>
        <w:lang w:val="en-GB" w:eastAsia="en-GB" w:bidi="en-GB"/>
      </w:rPr>
    </w:lvl>
    <w:lvl w:ilvl="2" w:tplc="B3D0B66A">
      <w:numFmt w:val="bullet"/>
      <w:lvlText w:val="•"/>
      <w:lvlJc w:val="left"/>
      <w:pPr>
        <w:ind w:left="1478" w:hanging="183"/>
      </w:pPr>
      <w:rPr>
        <w:rFonts w:hint="default"/>
        <w:lang w:val="en-GB" w:eastAsia="en-GB" w:bidi="en-GB"/>
      </w:rPr>
    </w:lvl>
    <w:lvl w:ilvl="3" w:tplc="9E103FB0">
      <w:numFmt w:val="bullet"/>
      <w:lvlText w:val="•"/>
      <w:lvlJc w:val="left"/>
      <w:pPr>
        <w:ind w:left="2496" w:hanging="183"/>
      </w:pPr>
      <w:rPr>
        <w:rFonts w:hint="default"/>
        <w:lang w:val="en-GB" w:eastAsia="en-GB" w:bidi="en-GB"/>
      </w:rPr>
    </w:lvl>
    <w:lvl w:ilvl="4" w:tplc="935EFC2A">
      <w:numFmt w:val="bullet"/>
      <w:lvlText w:val="•"/>
      <w:lvlJc w:val="left"/>
      <w:pPr>
        <w:ind w:left="3515" w:hanging="183"/>
      </w:pPr>
      <w:rPr>
        <w:rFonts w:hint="default"/>
        <w:lang w:val="en-GB" w:eastAsia="en-GB" w:bidi="en-GB"/>
      </w:rPr>
    </w:lvl>
    <w:lvl w:ilvl="5" w:tplc="9CB07F5A">
      <w:numFmt w:val="bullet"/>
      <w:lvlText w:val="•"/>
      <w:lvlJc w:val="left"/>
      <w:pPr>
        <w:ind w:left="4533" w:hanging="183"/>
      </w:pPr>
      <w:rPr>
        <w:rFonts w:hint="default"/>
        <w:lang w:val="en-GB" w:eastAsia="en-GB" w:bidi="en-GB"/>
      </w:rPr>
    </w:lvl>
    <w:lvl w:ilvl="6" w:tplc="3F3067C0">
      <w:numFmt w:val="bullet"/>
      <w:lvlText w:val="•"/>
      <w:lvlJc w:val="left"/>
      <w:pPr>
        <w:ind w:left="5551" w:hanging="183"/>
      </w:pPr>
      <w:rPr>
        <w:rFonts w:hint="default"/>
        <w:lang w:val="en-GB" w:eastAsia="en-GB" w:bidi="en-GB"/>
      </w:rPr>
    </w:lvl>
    <w:lvl w:ilvl="7" w:tplc="990289FA">
      <w:numFmt w:val="bullet"/>
      <w:lvlText w:val="•"/>
      <w:lvlJc w:val="left"/>
      <w:pPr>
        <w:ind w:left="6570" w:hanging="183"/>
      </w:pPr>
      <w:rPr>
        <w:rFonts w:hint="default"/>
        <w:lang w:val="en-GB" w:eastAsia="en-GB" w:bidi="en-GB"/>
      </w:rPr>
    </w:lvl>
    <w:lvl w:ilvl="8" w:tplc="D41E102C">
      <w:numFmt w:val="bullet"/>
      <w:lvlText w:val="•"/>
      <w:lvlJc w:val="left"/>
      <w:pPr>
        <w:ind w:left="7588" w:hanging="183"/>
      </w:pPr>
      <w:rPr>
        <w:rFonts w:hint="default"/>
        <w:lang w:val="en-GB" w:eastAsia="en-GB" w:bidi="en-GB"/>
      </w:rPr>
    </w:lvl>
  </w:abstractNum>
  <w:abstractNum w:abstractNumId="31" w15:restartNumberingAfterBreak="0">
    <w:nsid w:val="518816A7"/>
    <w:multiLevelType w:val="multilevel"/>
    <w:tmpl w:val="58261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AC29E5"/>
    <w:multiLevelType w:val="multilevel"/>
    <w:tmpl w:val="B26EDB6E"/>
    <w:lvl w:ilvl="0">
      <w:start w:val="1"/>
      <w:numFmt w:val="decimal"/>
      <w:pStyle w:val="Paragraphfirstlevel"/>
      <w:lvlText w:val="%1."/>
      <w:lvlJc w:val="left"/>
      <w:pPr>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5487180"/>
    <w:multiLevelType w:val="hybridMultilevel"/>
    <w:tmpl w:val="E1BA3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5B67BDD"/>
    <w:multiLevelType w:val="hybridMultilevel"/>
    <w:tmpl w:val="02B2A052"/>
    <w:lvl w:ilvl="0" w:tplc="89AAE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E01008"/>
    <w:multiLevelType w:val="hybridMultilevel"/>
    <w:tmpl w:val="18DAE37C"/>
    <w:lvl w:ilvl="0" w:tplc="37E01842">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36" w15:restartNumberingAfterBreak="0">
    <w:nsid w:val="60A26DEE"/>
    <w:multiLevelType w:val="multilevel"/>
    <w:tmpl w:val="9D70711C"/>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pStyle w:val="Paragraphsecondlevel"/>
      <w:lvlText w:val="%8."/>
      <w:lvlJc w:val="left"/>
      <w:pPr>
        <w:ind w:left="3164" w:hanging="360"/>
      </w:pPr>
    </w:lvl>
    <w:lvl w:ilvl="8">
      <w:start w:val="1"/>
      <w:numFmt w:val="lowerRoman"/>
      <w:lvlText w:val="%9."/>
      <w:lvlJc w:val="left"/>
      <w:pPr>
        <w:ind w:left="3524" w:hanging="360"/>
      </w:pPr>
    </w:lvl>
  </w:abstractNum>
  <w:abstractNum w:abstractNumId="37" w15:restartNumberingAfterBreak="0">
    <w:nsid w:val="616E7386"/>
    <w:multiLevelType w:val="hybridMultilevel"/>
    <w:tmpl w:val="224057BA"/>
    <w:lvl w:ilvl="0" w:tplc="04150005">
      <w:start w:val="1"/>
      <w:numFmt w:val="bullet"/>
      <w:lvlText w:val=""/>
      <w:lvlJc w:val="left"/>
      <w:pPr>
        <w:ind w:left="862" w:hanging="360"/>
      </w:pPr>
      <w:rPr>
        <w:rFonts w:ascii="Wingdings" w:hAnsi="Wingding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8" w15:restartNumberingAfterBreak="0">
    <w:nsid w:val="62C84DC3"/>
    <w:multiLevelType w:val="hybridMultilevel"/>
    <w:tmpl w:val="D7D80CBA"/>
    <w:lvl w:ilvl="0" w:tplc="0809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9" w15:restartNumberingAfterBreak="0">
    <w:nsid w:val="62FE65DF"/>
    <w:multiLevelType w:val="hybridMultilevel"/>
    <w:tmpl w:val="97ECA8D6"/>
    <w:lvl w:ilvl="0" w:tplc="78C4846C">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40" w15:restartNumberingAfterBreak="0">
    <w:nsid w:val="652D4AE9"/>
    <w:multiLevelType w:val="multilevel"/>
    <w:tmpl w:val="0CD47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040EC4"/>
    <w:multiLevelType w:val="hybridMultilevel"/>
    <w:tmpl w:val="35C4053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15:restartNumberingAfterBreak="0">
    <w:nsid w:val="7EDD2B8F"/>
    <w:multiLevelType w:val="hybridMultilevel"/>
    <w:tmpl w:val="654EB7EA"/>
    <w:lvl w:ilvl="0" w:tplc="FAE02672">
      <w:start w:val="1"/>
      <w:numFmt w:val="upperRoman"/>
      <w:lvlText w:val="%1."/>
      <w:lvlJc w:val="left"/>
      <w:pPr>
        <w:ind w:left="837" w:hanging="72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43" w15:restartNumberingAfterBreak="0">
    <w:nsid w:val="7F292663"/>
    <w:multiLevelType w:val="hybridMultilevel"/>
    <w:tmpl w:val="A25AFC1C"/>
    <w:lvl w:ilvl="0" w:tplc="0809000F">
      <w:start w:val="1"/>
      <w:numFmt w:val="decimal"/>
      <w:lvlText w:val="%1."/>
      <w:lvlJc w:val="left"/>
      <w:pPr>
        <w:ind w:left="862" w:hanging="360"/>
      </w:pPr>
      <w:rPr>
        <w:rFonts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num w:numId="1" w16cid:durableId="1809280534">
    <w:abstractNumId w:val="30"/>
  </w:num>
  <w:num w:numId="2" w16cid:durableId="1550653203">
    <w:abstractNumId w:val="36"/>
  </w:num>
  <w:num w:numId="3" w16cid:durableId="498695061">
    <w:abstractNumId w:val="32"/>
  </w:num>
  <w:num w:numId="4" w16cid:durableId="106003373">
    <w:abstractNumId w:val="4"/>
  </w:num>
  <w:num w:numId="5" w16cid:durableId="354036514">
    <w:abstractNumId w:val="33"/>
  </w:num>
  <w:num w:numId="6" w16cid:durableId="1087732109">
    <w:abstractNumId w:val="24"/>
  </w:num>
  <w:num w:numId="7" w16cid:durableId="258759358">
    <w:abstractNumId w:val="22"/>
  </w:num>
  <w:num w:numId="8" w16cid:durableId="431509100">
    <w:abstractNumId w:val="29"/>
  </w:num>
  <w:num w:numId="9" w16cid:durableId="1583022620">
    <w:abstractNumId w:val="30"/>
  </w:num>
  <w:num w:numId="10" w16cid:durableId="153573606">
    <w:abstractNumId w:val="30"/>
  </w:num>
  <w:num w:numId="11" w16cid:durableId="990987134">
    <w:abstractNumId w:val="41"/>
  </w:num>
  <w:num w:numId="12" w16cid:durableId="490172030">
    <w:abstractNumId w:val="11"/>
  </w:num>
  <w:num w:numId="13" w16cid:durableId="317615452">
    <w:abstractNumId w:val="30"/>
  </w:num>
  <w:num w:numId="14" w16cid:durableId="1639260590">
    <w:abstractNumId w:val="30"/>
  </w:num>
  <w:num w:numId="15" w16cid:durableId="1248730756">
    <w:abstractNumId w:val="30"/>
  </w:num>
  <w:num w:numId="16" w16cid:durableId="1124077413">
    <w:abstractNumId w:val="30"/>
  </w:num>
  <w:num w:numId="17" w16cid:durableId="1530947460">
    <w:abstractNumId w:val="30"/>
  </w:num>
  <w:num w:numId="18" w16cid:durableId="551842171">
    <w:abstractNumId w:val="30"/>
  </w:num>
  <w:num w:numId="19" w16cid:durableId="394669427">
    <w:abstractNumId w:val="30"/>
  </w:num>
  <w:num w:numId="20" w16cid:durableId="1088190482">
    <w:abstractNumId w:val="30"/>
  </w:num>
  <w:num w:numId="21" w16cid:durableId="1412266046">
    <w:abstractNumId w:val="30"/>
  </w:num>
  <w:num w:numId="22" w16cid:durableId="1999114192">
    <w:abstractNumId w:val="30"/>
  </w:num>
  <w:num w:numId="23" w16cid:durableId="2094667155">
    <w:abstractNumId w:val="35"/>
  </w:num>
  <w:num w:numId="24" w16cid:durableId="274604502">
    <w:abstractNumId w:val="39"/>
  </w:num>
  <w:num w:numId="25" w16cid:durableId="252472797">
    <w:abstractNumId w:val="30"/>
  </w:num>
  <w:num w:numId="26" w16cid:durableId="409696013">
    <w:abstractNumId w:val="14"/>
  </w:num>
  <w:num w:numId="27" w16cid:durableId="1264798874">
    <w:abstractNumId w:val="17"/>
  </w:num>
  <w:num w:numId="28" w16cid:durableId="50886952">
    <w:abstractNumId w:val="18"/>
  </w:num>
  <w:num w:numId="29" w16cid:durableId="954096882">
    <w:abstractNumId w:val="42"/>
  </w:num>
  <w:num w:numId="30" w16cid:durableId="16736025">
    <w:abstractNumId w:val="30"/>
  </w:num>
  <w:num w:numId="31" w16cid:durableId="1277180006">
    <w:abstractNumId w:val="7"/>
  </w:num>
  <w:num w:numId="32" w16cid:durableId="1735351874">
    <w:abstractNumId w:val="30"/>
  </w:num>
  <w:num w:numId="33" w16cid:durableId="223374039">
    <w:abstractNumId w:val="30"/>
  </w:num>
  <w:num w:numId="34" w16cid:durableId="1817842326">
    <w:abstractNumId w:val="14"/>
  </w:num>
  <w:num w:numId="35" w16cid:durableId="1213998453">
    <w:abstractNumId w:val="17"/>
  </w:num>
  <w:num w:numId="36" w16cid:durableId="900746321">
    <w:abstractNumId w:val="28"/>
  </w:num>
  <w:num w:numId="37" w16cid:durableId="185602989">
    <w:abstractNumId w:val="0"/>
  </w:num>
  <w:num w:numId="38" w16cid:durableId="1967812460">
    <w:abstractNumId w:val="21"/>
  </w:num>
  <w:num w:numId="39" w16cid:durableId="1320160889">
    <w:abstractNumId w:val="9"/>
  </w:num>
  <w:num w:numId="40" w16cid:durableId="1993749605">
    <w:abstractNumId w:val="20"/>
  </w:num>
  <w:num w:numId="41" w16cid:durableId="1072586341">
    <w:abstractNumId w:val="34"/>
  </w:num>
  <w:num w:numId="42" w16cid:durableId="296104857">
    <w:abstractNumId w:val="19"/>
  </w:num>
  <w:num w:numId="43" w16cid:durableId="558394603">
    <w:abstractNumId w:val="13"/>
  </w:num>
  <w:num w:numId="44" w16cid:durableId="939602892">
    <w:abstractNumId w:val="12"/>
  </w:num>
  <w:num w:numId="45" w16cid:durableId="1490319440">
    <w:abstractNumId w:val="25"/>
  </w:num>
  <w:num w:numId="46" w16cid:durableId="802384370">
    <w:abstractNumId w:val="26"/>
  </w:num>
  <w:num w:numId="47" w16cid:durableId="454757084">
    <w:abstractNumId w:val="40"/>
  </w:num>
  <w:num w:numId="48" w16cid:durableId="60836002">
    <w:abstractNumId w:val="31"/>
  </w:num>
  <w:num w:numId="49" w16cid:durableId="1903250882">
    <w:abstractNumId w:val="15"/>
  </w:num>
  <w:num w:numId="50" w16cid:durableId="1786846404">
    <w:abstractNumId w:val="5"/>
  </w:num>
  <w:num w:numId="51" w16cid:durableId="510146159">
    <w:abstractNumId w:val="3"/>
  </w:num>
  <w:num w:numId="52" w16cid:durableId="1258753001">
    <w:abstractNumId w:val="10"/>
  </w:num>
  <w:num w:numId="53" w16cid:durableId="1700930091">
    <w:abstractNumId w:val="16"/>
  </w:num>
  <w:num w:numId="54" w16cid:durableId="1976324671">
    <w:abstractNumId w:val="37"/>
  </w:num>
  <w:num w:numId="55" w16cid:durableId="54206956">
    <w:abstractNumId w:val="8"/>
  </w:num>
  <w:num w:numId="56" w16cid:durableId="91904993">
    <w:abstractNumId w:val="23"/>
  </w:num>
  <w:num w:numId="57" w16cid:durableId="54160817">
    <w:abstractNumId w:val="38"/>
  </w:num>
  <w:num w:numId="58" w16cid:durableId="1692686143">
    <w:abstractNumId w:val="43"/>
  </w:num>
  <w:num w:numId="59" w16cid:durableId="1504320779">
    <w:abstractNumId w:val="6"/>
  </w:num>
  <w:num w:numId="60" w16cid:durableId="1189640036">
    <w:abstractNumId w:val="2"/>
  </w:num>
  <w:num w:numId="61" w16cid:durableId="240263120">
    <w:abstractNumId w:val="27"/>
  </w:num>
  <w:num w:numId="62" w16cid:durableId="1318456017">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defaultTabStop w:val="720"/>
  <w:hyphenationZone w:val="425"/>
  <w:drawingGridHorizontalSpacing w:val="108"/>
  <w:drawingGridVerticalSpacing w:val="1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49C"/>
    <w:rsid w:val="00000072"/>
    <w:rsid w:val="00000AD9"/>
    <w:rsid w:val="00003A53"/>
    <w:rsid w:val="000070F2"/>
    <w:rsid w:val="00007C91"/>
    <w:rsid w:val="000127BF"/>
    <w:rsid w:val="000135E6"/>
    <w:rsid w:val="000154E1"/>
    <w:rsid w:val="00015C86"/>
    <w:rsid w:val="000162CC"/>
    <w:rsid w:val="00016350"/>
    <w:rsid w:val="00017BD1"/>
    <w:rsid w:val="00020A0F"/>
    <w:rsid w:val="0002192A"/>
    <w:rsid w:val="00022102"/>
    <w:rsid w:val="00022847"/>
    <w:rsid w:val="00023EC0"/>
    <w:rsid w:val="00024ADD"/>
    <w:rsid w:val="00027467"/>
    <w:rsid w:val="00027B91"/>
    <w:rsid w:val="00033486"/>
    <w:rsid w:val="00036813"/>
    <w:rsid w:val="00037336"/>
    <w:rsid w:val="000401CC"/>
    <w:rsid w:val="0004035A"/>
    <w:rsid w:val="000406E0"/>
    <w:rsid w:val="00040B4C"/>
    <w:rsid w:val="0004240B"/>
    <w:rsid w:val="00042C6F"/>
    <w:rsid w:val="00044D74"/>
    <w:rsid w:val="00045EA6"/>
    <w:rsid w:val="000505AA"/>
    <w:rsid w:val="00053D57"/>
    <w:rsid w:val="000556AD"/>
    <w:rsid w:val="0005592C"/>
    <w:rsid w:val="0005640A"/>
    <w:rsid w:val="00056D1C"/>
    <w:rsid w:val="0006012F"/>
    <w:rsid w:val="00062B73"/>
    <w:rsid w:val="00065F2B"/>
    <w:rsid w:val="00066EE6"/>
    <w:rsid w:val="00072C45"/>
    <w:rsid w:val="000734A3"/>
    <w:rsid w:val="00073FE6"/>
    <w:rsid w:val="000746EF"/>
    <w:rsid w:val="000768D0"/>
    <w:rsid w:val="00076E25"/>
    <w:rsid w:val="00077A42"/>
    <w:rsid w:val="000812C9"/>
    <w:rsid w:val="00082B55"/>
    <w:rsid w:val="000845FF"/>
    <w:rsid w:val="000852A4"/>
    <w:rsid w:val="0008786B"/>
    <w:rsid w:val="000914FB"/>
    <w:rsid w:val="000915B8"/>
    <w:rsid w:val="000917C0"/>
    <w:rsid w:val="00091B9E"/>
    <w:rsid w:val="00091EBA"/>
    <w:rsid w:val="000926C7"/>
    <w:rsid w:val="00094462"/>
    <w:rsid w:val="00095342"/>
    <w:rsid w:val="00097C89"/>
    <w:rsid w:val="000A3B8C"/>
    <w:rsid w:val="000A48D9"/>
    <w:rsid w:val="000A4D90"/>
    <w:rsid w:val="000A593C"/>
    <w:rsid w:val="000A6304"/>
    <w:rsid w:val="000B0035"/>
    <w:rsid w:val="000B03F2"/>
    <w:rsid w:val="000B3608"/>
    <w:rsid w:val="000B5B49"/>
    <w:rsid w:val="000C18E8"/>
    <w:rsid w:val="000C324C"/>
    <w:rsid w:val="000C44B5"/>
    <w:rsid w:val="000C4CE6"/>
    <w:rsid w:val="000D0103"/>
    <w:rsid w:val="000D16CB"/>
    <w:rsid w:val="000D18EC"/>
    <w:rsid w:val="000D298C"/>
    <w:rsid w:val="000D2C74"/>
    <w:rsid w:val="000D771B"/>
    <w:rsid w:val="000E2E77"/>
    <w:rsid w:val="000E36C7"/>
    <w:rsid w:val="000E37D8"/>
    <w:rsid w:val="000E3C3A"/>
    <w:rsid w:val="000E405E"/>
    <w:rsid w:val="000E4AE4"/>
    <w:rsid w:val="000E6DC3"/>
    <w:rsid w:val="000E7BEC"/>
    <w:rsid w:val="000F17BE"/>
    <w:rsid w:val="000F1DE8"/>
    <w:rsid w:val="000F268D"/>
    <w:rsid w:val="001010EE"/>
    <w:rsid w:val="00103E3B"/>
    <w:rsid w:val="001047A9"/>
    <w:rsid w:val="00105042"/>
    <w:rsid w:val="00105F0C"/>
    <w:rsid w:val="00106B1A"/>
    <w:rsid w:val="001074A6"/>
    <w:rsid w:val="00107A87"/>
    <w:rsid w:val="00110645"/>
    <w:rsid w:val="001110EE"/>
    <w:rsid w:val="001111A9"/>
    <w:rsid w:val="0011272C"/>
    <w:rsid w:val="00112FE4"/>
    <w:rsid w:val="001149DD"/>
    <w:rsid w:val="00115234"/>
    <w:rsid w:val="001177F9"/>
    <w:rsid w:val="0012223E"/>
    <w:rsid w:val="0013090C"/>
    <w:rsid w:val="001319AB"/>
    <w:rsid w:val="001365DD"/>
    <w:rsid w:val="001367A8"/>
    <w:rsid w:val="0014147E"/>
    <w:rsid w:val="00141E5F"/>
    <w:rsid w:val="001422C2"/>
    <w:rsid w:val="00143B00"/>
    <w:rsid w:val="001477A5"/>
    <w:rsid w:val="001503E2"/>
    <w:rsid w:val="001509FF"/>
    <w:rsid w:val="00151569"/>
    <w:rsid w:val="00151C2D"/>
    <w:rsid w:val="0015233E"/>
    <w:rsid w:val="0015276F"/>
    <w:rsid w:val="00152836"/>
    <w:rsid w:val="00153543"/>
    <w:rsid w:val="00153630"/>
    <w:rsid w:val="00153C30"/>
    <w:rsid w:val="00154F20"/>
    <w:rsid w:val="00154FB6"/>
    <w:rsid w:val="001558CA"/>
    <w:rsid w:val="00155AA8"/>
    <w:rsid w:val="00157DEA"/>
    <w:rsid w:val="001603ED"/>
    <w:rsid w:val="001616D5"/>
    <w:rsid w:val="0016466E"/>
    <w:rsid w:val="0016634D"/>
    <w:rsid w:val="00166B31"/>
    <w:rsid w:val="00167620"/>
    <w:rsid w:val="001744A0"/>
    <w:rsid w:val="001753FF"/>
    <w:rsid w:val="00177C9F"/>
    <w:rsid w:val="0018540E"/>
    <w:rsid w:val="001868E1"/>
    <w:rsid w:val="00187B9C"/>
    <w:rsid w:val="00190C64"/>
    <w:rsid w:val="00194BB3"/>
    <w:rsid w:val="00195159"/>
    <w:rsid w:val="001A0E77"/>
    <w:rsid w:val="001A1EC7"/>
    <w:rsid w:val="001A2E56"/>
    <w:rsid w:val="001A3E0F"/>
    <w:rsid w:val="001A45A6"/>
    <w:rsid w:val="001A74DE"/>
    <w:rsid w:val="001B0270"/>
    <w:rsid w:val="001B1D18"/>
    <w:rsid w:val="001B2D99"/>
    <w:rsid w:val="001B634F"/>
    <w:rsid w:val="001B7489"/>
    <w:rsid w:val="001C02DF"/>
    <w:rsid w:val="001C03E6"/>
    <w:rsid w:val="001C11B3"/>
    <w:rsid w:val="001C1A30"/>
    <w:rsid w:val="001C1C8B"/>
    <w:rsid w:val="001C2601"/>
    <w:rsid w:val="001C3E39"/>
    <w:rsid w:val="001C4971"/>
    <w:rsid w:val="001C5A5E"/>
    <w:rsid w:val="001C6E1F"/>
    <w:rsid w:val="001D1064"/>
    <w:rsid w:val="001D5C81"/>
    <w:rsid w:val="001D6E46"/>
    <w:rsid w:val="001E08D0"/>
    <w:rsid w:val="001E15B8"/>
    <w:rsid w:val="001E41F2"/>
    <w:rsid w:val="001E504D"/>
    <w:rsid w:val="001E5310"/>
    <w:rsid w:val="001F4EA9"/>
    <w:rsid w:val="001F5054"/>
    <w:rsid w:val="001F573F"/>
    <w:rsid w:val="001F59BC"/>
    <w:rsid w:val="001F6517"/>
    <w:rsid w:val="002004EE"/>
    <w:rsid w:val="0020068C"/>
    <w:rsid w:val="002007D4"/>
    <w:rsid w:val="00200F34"/>
    <w:rsid w:val="0020303B"/>
    <w:rsid w:val="0021107F"/>
    <w:rsid w:val="002112F9"/>
    <w:rsid w:val="00211593"/>
    <w:rsid w:val="00211A0C"/>
    <w:rsid w:val="0021674D"/>
    <w:rsid w:val="002168DF"/>
    <w:rsid w:val="00230CC4"/>
    <w:rsid w:val="00231CF5"/>
    <w:rsid w:val="00231E0B"/>
    <w:rsid w:val="0023205E"/>
    <w:rsid w:val="00232F92"/>
    <w:rsid w:val="00233E09"/>
    <w:rsid w:val="00234E3B"/>
    <w:rsid w:val="002414F6"/>
    <w:rsid w:val="0024156B"/>
    <w:rsid w:val="002415B9"/>
    <w:rsid w:val="002417F4"/>
    <w:rsid w:val="00242435"/>
    <w:rsid w:val="0024363C"/>
    <w:rsid w:val="0024426C"/>
    <w:rsid w:val="002447D3"/>
    <w:rsid w:val="00246AC9"/>
    <w:rsid w:val="002477DC"/>
    <w:rsid w:val="00250217"/>
    <w:rsid w:val="00254480"/>
    <w:rsid w:val="00257437"/>
    <w:rsid w:val="002614FC"/>
    <w:rsid w:val="00261C7F"/>
    <w:rsid w:val="00262C78"/>
    <w:rsid w:val="00263B8A"/>
    <w:rsid w:val="002642C9"/>
    <w:rsid w:val="00264561"/>
    <w:rsid w:val="002645CA"/>
    <w:rsid w:val="00273ACC"/>
    <w:rsid w:val="00274CF2"/>
    <w:rsid w:val="00276D16"/>
    <w:rsid w:val="00276D80"/>
    <w:rsid w:val="00276E65"/>
    <w:rsid w:val="002830B7"/>
    <w:rsid w:val="00283C05"/>
    <w:rsid w:val="00285682"/>
    <w:rsid w:val="00285CA4"/>
    <w:rsid w:val="002863E6"/>
    <w:rsid w:val="0029009E"/>
    <w:rsid w:val="00290A67"/>
    <w:rsid w:val="0029130D"/>
    <w:rsid w:val="00291F25"/>
    <w:rsid w:val="002934B6"/>
    <w:rsid w:val="00294E50"/>
    <w:rsid w:val="0029512A"/>
    <w:rsid w:val="002956DE"/>
    <w:rsid w:val="002A2871"/>
    <w:rsid w:val="002A2C77"/>
    <w:rsid w:val="002A306C"/>
    <w:rsid w:val="002A4583"/>
    <w:rsid w:val="002A6309"/>
    <w:rsid w:val="002A6DF4"/>
    <w:rsid w:val="002A7675"/>
    <w:rsid w:val="002B3B76"/>
    <w:rsid w:val="002B701F"/>
    <w:rsid w:val="002B7135"/>
    <w:rsid w:val="002B73A5"/>
    <w:rsid w:val="002C07B3"/>
    <w:rsid w:val="002C3143"/>
    <w:rsid w:val="002C6F4C"/>
    <w:rsid w:val="002D2C7D"/>
    <w:rsid w:val="002D4208"/>
    <w:rsid w:val="002D496E"/>
    <w:rsid w:val="002D5111"/>
    <w:rsid w:val="002D64B0"/>
    <w:rsid w:val="002D771A"/>
    <w:rsid w:val="002D775B"/>
    <w:rsid w:val="002D7AA8"/>
    <w:rsid w:val="002E1CAB"/>
    <w:rsid w:val="002E3647"/>
    <w:rsid w:val="002E4793"/>
    <w:rsid w:val="002E5936"/>
    <w:rsid w:val="002F026C"/>
    <w:rsid w:val="002F2159"/>
    <w:rsid w:val="002F4587"/>
    <w:rsid w:val="002F56B3"/>
    <w:rsid w:val="002F601E"/>
    <w:rsid w:val="00300720"/>
    <w:rsid w:val="00300820"/>
    <w:rsid w:val="00302058"/>
    <w:rsid w:val="00303C16"/>
    <w:rsid w:val="00304B3A"/>
    <w:rsid w:val="00304D97"/>
    <w:rsid w:val="00305F2E"/>
    <w:rsid w:val="00307E54"/>
    <w:rsid w:val="00313E58"/>
    <w:rsid w:val="00315456"/>
    <w:rsid w:val="00316A94"/>
    <w:rsid w:val="00320C5F"/>
    <w:rsid w:val="00323E8D"/>
    <w:rsid w:val="00326B4E"/>
    <w:rsid w:val="00327579"/>
    <w:rsid w:val="003325D5"/>
    <w:rsid w:val="00334140"/>
    <w:rsid w:val="0033474D"/>
    <w:rsid w:val="00334B26"/>
    <w:rsid w:val="00335135"/>
    <w:rsid w:val="0033555A"/>
    <w:rsid w:val="00342104"/>
    <w:rsid w:val="0034377C"/>
    <w:rsid w:val="00347CD0"/>
    <w:rsid w:val="00352F2A"/>
    <w:rsid w:val="00353FC7"/>
    <w:rsid w:val="0035489A"/>
    <w:rsid w:val="0035574E"/>
    <w:rsid w:val="00355969"/>
    <w:rsid w:val="00355D2C"/>
    <w:rsid w:val="00356022"/>
    <w:rsid w:val="00360A0C"/>
    <w:rsid w:val="00360CBF"/>
    <w:rsid w:val="00362FB1"/>
    <w:rsid w:val="00363888"/>
    <w:rsid w:val="00363D3C"/>
    <w:rsid w:val="00365C15"/>
    <w:rsid w:val="00367329"/>
    <w:rsid w:val="00367900"/>
    <w:rsid w:val="0037077D"/>
    <w:rsid w:val="00371ABC"/>
    <w:rsid w:val="00372437"/>
    <w:rsid w:val="00373C48"/>
    <w:rsid w:val="003746F2"/>
    <w:rsid w:val="00377C10"/>
    <w:rsid w:val="0038027E"/>
    <w:rsid w:val="00380D7F"/>
    <w:rsid w:val="003835DA"/>
    <w:rsid w:val="003854AF"/>
    <w:rsid w:val="00390021"/>
    <w:rsid w:val="0039103B"/>
    <w:rsid w:val="003910ED"/>
    <w:rsid w:val="0039256C"/>
    <w:rsid w:val="0039333F"/>
    <w:rsid w:val="00395EC6"/>
    <w:rsid w:val="003972D0"/>
    <w:rsid w:val="003A1354"/>
    <w:rsid w:val="003A33E6"/>
    <w:rsid w:val="003A5331"/>
    <w:rsid w:val="003A5D1A"/>
    <w:rsid w:val="003A6F54"/>
    <w:rsid w:val="003A7193"/>
    <w:rsid w:val="003B13EA"/>
    <w:rsid w:val="003B36A8"/>
    <w:rsid w:val="003B3D5C"/>
    <w:rsid w:val="003B4D15"/>
    <w:rsid w:val="003B51D2"/>
    <w:rsid w:val="003B7F37"/>
    <w:rsid w:val="003C38D9"/>
    <w:rsid w:val="003C753D"/>
    <w:rsid w:val="003C75DF"/>
    <w:rsid w:val="003D208D"/>
    <w:rsid w:val="003D269A"/>
    <w:rsid w:val="003D3E6E"/>
    <w:rsid w:val="003D6360"/>
    <w:rsid w:val="003D6D70"/>
    <w:rsid w:val="003D78B2"/>
    <w:rsid w:val="003D7FB2"/>
    <w:rsid w:val="003E257C"/>
    <w:rsid w:val="003E2F5D"/>
    <w:rsid w:val="003E63CF"/>
    <w:rsid w:val="003E7777"/>
    <w:rsid w:val="003E7859"/>
    <w:rsid w:val="003F0CB2"/>
    <w:rsid w:val="003F11C5"/>
    <w:rsid w:val="003F1900"/>
    <w:rsid w:val="003F5E11"/>
    <w:rsid w:val="004017C9"/>
    <w:rsid w:val="00403964"/>
    <w:rsid w:val="0040588B"/>
    <w:rsid w:val="00407078"/>
    <w:rsid w:val="00407C5B"/>
    <w:rsid w:val="004147E1"/>
    <w:rsid w:val="0041550E"/>
    <w:rsid w:val="00415C45"/>
    <w:rsid w:val="00415CDE"/>
    <w:rsid w:val="00417682"/>
    <w:rsid w:val="0042081F"/>
    <w:rsid w:val="0042110E"/>
    <w:rsid w:val="004227AB"/>
    <w:rsid w:val="00422CBC"/>
    <w:rsid w:val="00423F82"/>
    <w:rsid w:val="00426C08"/>
    <w:rsid w:val="00430213"/>
    <w:rsid w:val="00431DB0"/>
    <w:rsid w:val="00435386"/>
    <w:rsid w:val="00435B0E"/>
    <w:rsid w:val="00436276"/>
    <w:rsid w:val="00440E0D"/>
    <w:rsid w:val="00440FF3"/>
    <w:rsid w:val="004415AC"/>
    <w:rsid w:val="004416AE"/>
    <w:rsid w:val="0044288E"/>
    <w:rsid w:val="00446C89"/>
    <w:rsid w:val="00450F05"/>
    <w:rsid w:val="00451B3C"/>
    <w:rsid w:val="00452208"/>
    <w:rsid w:val="00452216"/>
    <w:rsid w:val="004538AC"/>
    <w:rsid w:val="00456CC1"/>
    <w:rsid w:val="00460693"/>
    <w:rsid w:val="00460786"/>
    <w:rsid w:val="00460C3C"/>
    <w:rsid w:val="00461670"/>
    <w:rsid w:val="00462A7D"/>
    <w:rsid w:val="004714AF"/>
    <w:rsid w:val="00471CDA"/>
    <w:rsid w:val="00471D79"/>
    <w:rsid w:val="00472A6E"/>
    <w:rsid w:val="00472AD5"/>
    <w:rsid w:val="00472FFB"/>
    <w:rsid w:val="00475410"/>
    <w:rsid w:val="00475C43"/>
    <w:rsid w:val="00477A4E"/>
    <w:rsid w:val="0048230C"/>
    <w:rsid w:val="0048336D"/>
    <w:rsid w:val="00485197"/>
    <w:rsid w:val="00485E93"/>
    <w:rsid w:val="00486968"/>
    <w:rsid w:val="004904A4"/>
    <w:rsid w:val="00490B14"/>
    <w:rsid w:val="00492130"/>
    <w:rsid w:val="00492496"/>
    <w:rsid w:val="004927F5"/>
    <w:rsid w:val="0049453C"/>
    <w:rsid w:val="004953FD"/>
    <w:rsid w:val="004A1638"/>
    <w:rsid w:val="004A509B"/>
    <w:rsid w:val="004A549D"/>
    <w:rsid w:val="004A62F1"/>
    <w:rsid w:val="004A7DED"/>
    <w:rsid w:val="004B3099"/>
    <w:rsid w:val="004B39CC"/>
    <w:rsid w:val="004B3EB7"/>
    <w:rsid w:val="004B525D"/>
    <w:rsid w:val="004C0A26"/>
    <w:rsid w:val="004C1F69"/>
    <w:rsid w:val="004C2DE5"/>
    <w:rsid w:val="004C4448"/>
    <w:rsid w:val="004C4F81"/>
    <w:rsid w:val="004C5E6C"/>
    <w:rsid w:val="004D07F5"/>
    <w:rsid w:val="004D0E75"/>
    <w:rsid w:val="004D17F8"/>
    <w:rsid w:val="004D1881"/>
    <w:rsid w:val="004D1EC5"/>
    <w:rsid w:val="004D32B7"/>
    <w:rsid w:val="004D373B"/>
    <w:rsid w:val="004D3AE5"/>
    <w:rsid w:val="004D43C0"/>
    <w:rsid w:val="004D49BE"/>
    <w:rsid w:val="004D5F5D"/>
    <w:rsid w:val="004D667D"/>
    <w:rsid w:val="004D7C0D"/>
    <w:rsid w:val="004E09B8"/>
    <w:rsid w:val="004E0BD2"/>
    <w:rsid w:val="004E2E1C"/>
    <w:rsid w:val="004E31BB"/>
    <w:rsid w:val="004E3563"/>
    <w:rsid w:val="004E3C59"/>
    <w:rsid w:val="004E4BE6"/>
    <w:rsid w:val="004E4CE0"/>
    <w:rsid w:val="004E50C1"/>
    <w:rsid w:val="004E59BC"/>
    <w:rsid w:val="004E7078"/>
    <w:rsid w:val="004E7199"/>
    <w:rsid w:val="004F0FB2"/>
    <w:rsid w:val="004F5F20"/>
    <w:rsid w:val="004F75FD"/>
    <w:rsid w:val="004F79B6"/>
    <w:rsid w:val="004F7B78"/>
    <w:rsid w:val="005024A1"/>
    <w:rsid w:val="00504984"/>
    <w:rsid w:val="0050552F"/>
    <w:rsid w:val="005065C4"/>
    <w:rsid w:val="005130CC"/>
    <w:rsid w:val="00513413"/>
    <w:rsid w:val="00514EF2"/>
    <w:rsid w:val="0051526F"/>
    <w:rsid w:val="00515B1E"/>
    <w:rsid w:val="005164BD"/>
    <w:rsid w:val="00516D78"/>
    <w:rsid w:val="00517349"/>
    <w:rsid w:val="00520748"/>
    <w:rsid w:val="00520C5B"/>
    <w:rsid w:val="00521120"/>
    <w:rsid w:val="00521460"/>
    <w:rsid w:val="005218AA"/>
    <w:rsid w:val="00521EF0"/>
    <w:rsid w:val="00525506"/>
    <w:rsid w:val="00525DD6"/>
    <w:rsid w:val="00527925"/>
    <w:rsid w:val="00527927"/>
    <w:rsid w:val="00530FAC"/>
    <w:rsid w:val="0053204C"/>
    <w:rsid w:val="00532B6D"/>
    <w:rsid w:val="00533F42"/>
    <w:rsid w:val="00536579"/>
    <w:rsid w:val="005371B6"/>
    <w:rsid w:val="00541840"/>
    <w:rsid w:val="00541A97"/>
    <w:rsid w:val="00542DAE"/>
    <w:rsid w:val="0054671E"/>
    <w:rsid w:val="00547B93"/>
    <w:rsid w:val="005503BA"/>
    <w:rsid w:val="00551E0C"/>
    <w:rsid w:val="00551F98"/>
    <w:rsid w:val="0055648E"/>
    <w:rsid w:val="00556E1E"/>
    <w:rsid w:val="00557218"/>
    <w:rsid w:val="00557C50"/>
    <w:rsid w:val="0056105A"/>
    <w:rsid w:val="00563340"/>
    <w:rsid w:val="00565182"/>
    <w:rsid w:val="0056554D"/>
    <w:rsid w:val="005663C1"/>
    <w:rsid w:val="005718EF"/>
    <w:rsid w:val="005719F7"/>
    <w:rsid w:val="00572933"/>
    <w:rsid w:val="00574CE5"/>
    <w:rsid w:val="00574E2E"/>
    <w:rsid w:val="00575045"/>
    <w:rsid w:val="00576A64"/>
    <w:rsid w:val="005802D2"/>
    <w:rsid w:val="005808A1"/>
    <w:rsid w:val="00586E72"/>
    <w:rsid w:val="005870F7"/>
    <w:rsid w:val="005872CA"/>
    <w:rsid w:val="0058755C"/>
    <w:rsid w:val="005875F0"/>
    <w:rsid w:val="00592FDD"/>
    <w:rsid w:val="00593538"/>
    <w:rsid w:val="00594F48"/>
    <w:rsid w:val="00595254"/>
    <w:rsid w:val="005962D6"/>
    <w:rsid w:val="00596B33"/>
    <w:rsid w:val="00597500"/>
    <w:rsid w:val="005A1969"/>
    <w:rsid w:val="005A210D"/>
    <w:rsid w:val="005A4C13"/>
    <w:rsid w:val="005A6406"/>
    <w:rsid w:val="005A669A"/>
    <w:rsid w:val="005A7A54"/>
    <w:rsid w:val="005B310B"/>
    <w:rsid w:val="005B3339"/>
    <w:rsid w:val="005B3EAE"/>
    <w:rsid w:val="005B6273"/>
    <w:rsid w:val="005B7473"/>
    <w:rsid w:val="005C07A9"/>
    <w:rsid w:val="005C0905"/>
    <w:rsid w:val="005C6411"/>
    <w:rsid w:val="005C6E83"/>
    <w:rsid w:val="005C7463"/>
    <w:rsid w:val="005D0965"/>
    <w:rsid w:val="005D32F2"/>
    <w:rsid w:val="005D4411"/>
    <w:rsid w:val="005D64C8"/>
    <w:rsid w:val="005D6781"/>
    <w:rsid w:val="005E3027"/>
    <w:rsid w:val="005E3557"/>
    <w:rsid w:val="005E4891"/>
    <w:rsid w:val="005E6679"/>
    <w:rsid w:val="005F2817"/>
    <w:rsid w:val="005F3011"/>
    <w:rsid w:val="005F58F9"/>
    <w:rsid w:val="0060037E"/>
    <w:rsid w:val="00600CC1"/>
    <w:rsid w:val="006011EF"/>
    <w:rsid w:val="00601306"/>
    <w:rsid w:val="00603DC8"/>
    <w:rsid w:val="00604581"/>
    <w:rsid w:val="0060466B"/>
    <w:rsid w:val="00605C91"/>
    <w:rsid w:val="00605FC6"/>
    <w:rsid w:val="00606394"/>
    <w:rsid w:val="00611A76"/>
    <w:rsid w:val="00611B67"/>
    <w:rsid w:val="00612E3D"/>
    <w:rsid w:val="006145E4"/>
    <w:rsid w:val="00615AF6"/>
    <w:rsid w:val="00616245"/>
    <w:rsid w:val="00616B30"/>
    <w:rsid w:val="00617EA1"/>
    <w:rsid w:val="00621064"/>
    <w:rsid w:val="006245F9"/>
    <w:rsid w:val="00626778"/>
    <w:rsid w:val="006274F9"/>
    <w:rsid w:val="00630B27"/>
    <w:rsid w:val="006322B1"/>
    <w:rsid w:val="00636315"/>
    <w:rsid w:val="00640391"/>
    <w:rsid w:val="00640EBA"/>
    <w:rsid w:val="00640FB8"/>
    <w:rsid w:val="00643422"/>
    <w:rsid w:val="0064633C"/>
    <w:rsid w:val="00646694"/>
    <w:rsid w:val="006479AD"/>
    <w:rsid w:val="00650E70"/>
    <w:rsid w:val="006525DF"/>
    <w:rsid w:val="00653CDD"/>
    <w:rsid w:val="00661C3F"/>
    <w:rsid w:val="00662592"/>
    <w:rsid w:val="00662647"/>
    <w:rsid w:val="006629CE"/>
    <w:rsid w:val="00666DF6"/>
    <w:rsid w:val="006673A4"/>
    <w:rsid w:val="006725BF"/>
    <w:rsid w:val="00672B5A"/>
    <w:rsid w:val="00673E57"/>
    <w:rsid w:val="00674790"/>
    <w:rsid w:val="00674A6F"/>
    <w:rsid w:val="0068088B"/>
    <w:rsid w:val="0068114B"/>
    <w:rsid w:val="00681587"/>
    <w:rsid w:val="00682C29"/>
    <w:rsid w:val="00684543"/>
    <w:rsid w:val="0069228D"/>
    <w:rsid w:val="006929A5"/>
    <w:rsid w:val="0069366C"/>
    <w:rsid w:val="00694159"/>
    <w:rsid w:val="00694397"/>
    <w:rsid w:val="00694DF3"/>
    <w:rsid w:val="00695255"/>
    <w:rsid w:val="006955E3"/>
    <w:rsid w:val="00695C17"/>
    <w:rsid w:val="00696CF8"/>
    <w:rsid w:val="006A36DF"/>
    <w:rsid w:val="006A5250"/>
    <w:rsid w:val="006A5699"/>
    <w:rsid w:val="006A5C53"/>
    <w:rsid w:val="006A6E7F"/>
    <w:rsid w:val="006A7E13"/>
    <w:rsid w:val="006B0738"/>
    <w:rsid w:val="006B0E9E"/>
    <w:rsid w:val="006B11A6"/>
    <w:rsid w:val="006B3568"/>
    <w:rsid w:val="006B55DC"/>
    <w:rsid w:val="006B58E5"/>
    <w:rsid w:val="006B6DE9"/>
    <w:rsid w:val="006C1576"/>
    <w:rsid w:val="006C1E9F"/>
    <w:rsid w:val="006C4B67"/>
    <w:rsid w:val="006D13DD"/>
    <w:rsid w:val="006D1B1A"/>
    <w:rsid w:val="006D340C"/>
    <w:rsid w:val="006D46AE"/>
    <w:rsid w:val="006D6032"/>
    <w:rsid w:val="006D6FC3"/>
    <w:rsid w:val="006E0433"/>
    <w:rsid w:val="006E11F4"/>
    <w:rsid w:val="006E25BF"/>
    <w:rsid w:val="006E314A"/>
    <w:rsid w:val="006E3A5B"/>
    <w:rsid w:val="006E4FC1"/>
    <w:rsid w:val="006E532D"/>
    <w:rsid w:val="006E5C63"/>
    <w:rsid w:val="006E648C"/>
    <w:rsid w:val="006E6AAE"/>
    <w:rsid w:val="006E7848"/>
    <w:rsid w:val="006F0464"/>
    <w:rsid w:val="006F2948"/>
    <w:rsid w:val="006F5920"/>
    <w:rsid w:val="006F5ED1"/>
    <w:rsid w:val="006F6986"/>
    <w:rsid w:val="006F6F42"/>
    <w:rsid w:val="006F721C"/>
    <w:rsid w:val="006F7467"/>
    <w:rsid w:val="006F7BFC"/>
    <w:rsid w:val="007000C4"/>
    <w:rsid w:val="00701484"/>
    <w:rsid w:val="00701534"/>
    <w:rsid w:val="007032F6"/>
    <w:rsid w:val="00704AB2"/>
    <w:rsid w:val="0070543A"/>
    <w:rsid w:val="007069AE"/>
    <w:rsid w:val="007101B4"/>
    <w:rsid w:val="00712748"/>
    <w:rsid w:val="00713679"/>
    <w:rsid w:val="00713BDB"/>
    <w:rsid w:val="00714037"/>
    <w:rsid w:val="007158CB"/>
    <w:rsid w:val="0072181A"/>
    <w:rsid w:val="00722DF6"/>
    <w:rsid w:val="00723196"/>
    <w:rsid w:val="007233C2"/>
    <w:rsid w:val="00725157"/>
    <w:rsid w:val="00731371"/>
    <w:rsid w:val="00731B8D"/>
    <w:rsid w:val="007327DE"/>
    <w:rsid w:val="007379AE"/>
    <w:rsid w:val="0074143A"/>
    <w:rsid w:val="0074244B"/>
    <w:rsid w:val="007424BC"/>
    <w:rsid w:val="007451BB"/>
    <w:rsid w:val="007458A6"/>
    <w:rsid w:val="00746459"/>
    <w:rsid w:val="00747E63"/>
    <w:rsid w:val="0075049C"/>
    <w:rsid w:val="007524A7"/>
    <w:rsid w:val="00753C54"/>
    <w:rsid w:val="007544C4"/>
    <w:rsid w:val="007569DB"/>
    <w:rsid w:val="00757104"/>
    <w:rsid w:val="007637E4"/>
    <w:rsid w:val="0076506D"/>
    <w:rsid w:val="00766CF2"/>
    <w:rsid w:val="007702A2"/>
    <w:rsid w:val="007702D4"/>
    <w:rsid w:val="00771F12"/>
    <w:rsid w:val="00772D42"/>
    <w:rsid w:val="00773A35"/>
    <w:rsid w:val="00776D41"/>
    <w:rsid w:val="0077798A"/>
    <w:rsid w:val="007801E8"/>
    <w:rsid w:val="0078208F"/>
    <w:rsid w:val="00786677"/>
    <w:rsid w:val="00786E5B"/>
    <w:rsid w:val="00792CF4"/>
    <w:rsid w:val="00793456"/>
    <w:rsid w:val="007951A6"/>
    <w:rsid w:val="00795A97"/>
    <w:rsid w:val="007964FF"/>
    <w:rsid w:val="0079717A"/>
    <w:rsid w:val="007A150E"/>
    <w:rsid w:val="007A68E3"/>
    <w:rsid w:val="007A6F62"/>
    <w:rsid w:val="007A7E68"/>
    <w:rsid w:val="007B0989"/>
    <w:rsid w:val="007B0C1F"/>
    <w:rsid w:val="007B17B8"/>
    <w:rsid w:val="007B2F34"/>
    <w:rsid w:val="007B36E0"/>
    <w:rsid w:val="007B51C7"/>
    <w:rsid w:val="007B63E3"/>
    <w:rsid w:val="007B6602"/>
    <w:rsid w:val="007B6BFE"/>
    <w:rsid w:val="007C0AE3"/>
    <w:rsid w:val="007C1D67"/>
    <w:rsid w:val="007C2C89"/>
    <w:rsid w:val="007C532D"/>
    <w:rsid w:val="007C5381"/>
    <w:rsid w:val="007C5836"/>
    <w:rsid w:val="007C720C"/>
    <w:rsid w:val="007D06F7"/>
    <w:rsid w:val="007D1B30"/>
    <w:rsid w:val="007D2B98"/>
    <w:rsid w:val="007D4596"/>
    <w:rsid w:val="007D4D11"/>
    <w:rsid w:val="007D7EB6"/>
    <w:rsid w:val="007E0270"/>
    <w:rsid w:val="007E3E8C"/>
    <w:rsid w:val="007E6305"/>
    <w:rsid w:val="007F1457"/>
    <w:rsid w:val="007F1A90"/>
    <w:rsid w:val="007F311D"/>
    <w:rsid w:val="007F42B1"/>
    <w:rsid w:val="007F5DEE"/>
    <w:rsid w:val="007F60EC"/>
    <w:rsid w:val="007F780A"/>
    <w:rsid w:val="00801529"/>
    <w:rsid w:val="008025CC"/>
    <w:rsid w:val="00807325"/>
    <w:rsid w:val="008106FB"/>
    <w:rsid w:val="00811055"/>
    <w:rsid w:val="00811A8D"/>
    <w:rsid w:val="008120AE"/>
    <w:rsid w:val="00813C27"/>
    <w:rsid w:val="00816FB5"/>
    <w:rsid w:val="00817E49"/>
    <w:rsid w:val="00820C7F"/>
    <w:rsid w:val="00821B14"/>
    <w:rsid w:val="008249D3"/>
    <w:rsid w:val="00825F53"/>
    <w:rsid w:val="0082659C"/>
    <w:rsid w:val="00827CD3"/>
    <w:rsid w:val="00832C3E"/>
    <w:rsid w:val="0083463A"/>
    <w:rsid w:val="00836A12"/>
    <w:rsid w:val="00837E0F"/>
    <w:rsid w:val="00841770"/>
    <w:rsid w:val="0084220F"/>
    <w:rsid w:val="00842DEF"/>
    <w:rsid w:val="00843133"/>
    <w:rsid w:val="00843D99"/>
    <w:rsid w:val="008444BA"/>
    <w:rsid w:val="00846FF9"/>
    <w:rsid w:val="00850444"/>
    <w:rsid w:val="00850518"/>
    <w:rsid w:val="00851561"/>
    <w:rsid w:val="0085191F"/>
    <w:rsid w:val="008530EF"/>
    <w:rsid w:val="00853749"/>
    <w:rsid w:val="00854E24"/>
    <w:rsid w:val="008563C5"/>
    <w:rsid w:val="00861A09"/>
    <w:rsid w:val="00865A30"/>
    <w:rsid w:val="00867254"/>
    <w:rsid w:val="0087056E"/>
    <w:rsid w:val="00871F36"/>
    <w:rsid w:val="00872872"/>
    <w:rsid w:val="00873140"/>
    <w:rsid w:val="00875673"/>
    <w:rsid w:val="00880A2D"/>
    <w:rsid w:val="00880B68"/>
    <w:rsid w:val="00880F9C"/>
    <w:rsid w:val="0088182B"/>
    <w:rsid w:val="00883071"/>
    <w:rsid w:val="00886705"/>
    <w:rsid w:val="008878E4"/>
    <w:rsid w:val="00892A0F"/>
    <w:rsid w:val="008931DB"/>
    <w:rsid w:val="008955EE"/>
    <w:rsid w:val="008979E4"/>
    <w:rsid w:val="008A14ED"/>
    <w:rsid w:val="008A16F9"/>
    <w:rsid w:val="008A2109"/>
    <w:rsid w:val="008A315A"/>
    <w:rsid w:val="008A33C5"/>
    <w:rsid w:val="008A38B7"/>
    <w:rsid w:val="008A5258"/>
    <w:rsid w:val="008A5CD8"/>
    <w:rsid w:val="008A702C"/>
    <w:rsid w:val="008B0A48"/>
    <w:rsid w:val="008B1476"/>
    <w:rsid w:val="008B3B86"/>
    <w:rsid w:val="008B650B"/>
    <w:rsid w:val="008B6B84"/>
    <w:rsid w:val="008C0DE2"/>
    <w:rsid w:val="008C38B4"/>
    <w:rsid w:val="008C411B"/>
    <w:rsid w:val="008C4CEC"/>
    <w:rsid w:val="008C6CDE"/>
    <w:rsid w:val="008D02A2"/>
    <w:rsid w:val="008D03B8"/>
    <w:rsid w:val="008D6395"/>
    <w:rsid w:val="008D7C0F"/>
    <w:rsid w:val="008E0E22"/>
    <w:rsid w:val="008E1F65"/>
    <w:rsid w:val="008E20AA"/>
    <w:rsid w:val="008E223C"/>
    <w:rsid w:val="008E2E4B"/>
    <w:rsid w:val="008E53E2"/>
    <w:rsid w:val="008E7739"/>
    <w:rsid w:val="008E7D07"/>
    <w:rsid w:val="008F07B1"/>
    <w:rsid w:val="008F1343"/>
    <w:rsid w:val="008F2C2B"/>
    <w:rsid w:val="008F357B"/>
    <w:rsid w:val="008F3A98"/>
    <w:rsid w:val="008F3EAA"/>
    <w:rsid w:val="008F638B"/>
    <w:rsid w:val="008F66F4"/>
    <w:rsid w:val="00900BE8"/>
    <w:rsid w:val="00901AEF"/>
    <w:rsid w:val="00903254"/>
    <w:rsid w:val="0090540D"/>
    <w:rsid w:val="0090622B"/>
    <w:rsid w:val="00906FC9"/>
    <w:rsid w:val="0090722C"/>
    <w:rsid w:val="00912C19"/>
    <w:rsid w:val="00915288"/>
    <w:rsid w:val="009242E3"/>
    <w:rsid w:val="00926575"/>
    <w:rsid w:val="009270BF"/>
    <w:rsid w:val="0093075A"/>
    <w:rsid w:val="0093083D"/>
    <w:rsid w:val="009329D1"/>
    <w:rsid w:val="00932A9C"/>
    <w:rsid w:val="00932AA0"/>
    <w:rsid w:val="00932AD8"/>
    <w:rsid w:val="00934595"/>
    <w:rsid w:val="00942202"/>
    <w:rsid w:val="00942FB5"/>
    <w:rsid w:val="009434A0"/>
    <w:rsid w:val="009438E0"/>
    <w:rsid w:val="00945DD9"/>
    <w:rsid w:val="009462E1"/>
    <w:rsid w:val="00946E40"/>
    <w:rsid w:val="009547CC"/>
    <w:rsid w:val="00954AF8"/>
    <w:rsid w:val="009554FC"/>
    <w:rsid w:val="00955B3A"/>
    <w:rsid w:val="00956C6C"/>
    <w:rsid w:val="00957E20"/>
    <w:rsid w:val="00961D4A"/>
    <w:rsid w:val="009620C4"/>
    <w:rsid w:val="00963739"/>
    <w:rsid w:val="00965B92"/>
    <w:rsid w:val="00966224"/>
    <w:rsid w:val="00966BEA"/>
    <w:rsid w:val="00971403"/>
    <w:rsid w:val="00971B65"/>
    <w:rsid w:val="009729EC"/>
    <w:rsid w:val="00973FB9"/>
    <w:rsid w:val="00974D12"/>
    <w:rsid w:val="00976200"/>
    <w:rsid w:val="009772B5"/>
    <w:rsid w:val="0098090E"/>
    <w:rsid w:val="00982D8D"/>
    <w:rsid w:val="00986450"/>
    <w:rsid w:val="00987F04"/>
    <w:rsid w:val="00991C82"/>
    <w:rsid w:val="00992BB9"/>
    <w:rsid w:val="00992CDA"/>
    <w:rsid w:val="00992CE8"/>
    <w:rsid w:val="00992E7D"/>
    <w:rsid w:val="00994B66"/>
    <w:rsid w:val="009A1C16"/>
    <w:rsid w:val="009A1C7D"/>
    <w:rsid w:val="009A2A9D"/>
    <w:rsid w:val="009A5505"/>
    <w:rsid w:val="009B0C54"/>
    <w:rsid w:val="009B23D0"/>
    <w:rsid w:val="009B46BF"/>
    <w:rsid w:val="009B4A24"/>
    <w:rsid w:val="009B4BA0"/>
    <w:rsid w:val="009B4F63"/>
    <w:rsid w:val="009B4FA5"/>
    <w:rsid w:val="009B5A16"/>
    <w:rsid w:val="009B73C1"/>
    <w:rsid w:val="009B7B5B"/>
    <w:rsid w:val="009C58F9"/>
    <w:rsid w:val="009C67B8"/>
    <w:rsid w:val="009C6B20"/>
    <w:rsid w:val="009C7F71"/>
    <w:rsid w:val="009C7FD3"/>
    <w:rsid w:val="009D3589"/>
    <w:rsid w:val="009E00A3"/>
    <w:rsid w:val="009E0240"/>
    <w:rsid w:val="009E4EC7"/>
    <w:rsid w:val="009E4F46"/>
    <w:rsid w:val="009E4FF9"/>
    <w:rsid w:val="009E532F"/>
    <w:rsid w:val="009E71F9"/>
    <w:rsid w:val="009F0A78"/>
    <w:rsid w:val="009F1A47"/>
    <w:rsid w:val="009F33EB"/>
    <w:rsid w:val="009F4626"/>
    <w:rsid w:val="009F67EB"/>
    <w:rsid w:val="00A01F67"/>
    <w:rsid w:val="00A06A47"/>
    <w:rsid w:val="00A06E6B"/>
    <w:rsid w:val="00A073B0"/>
    <w:rsid w:val="00A079B8"/>
    <w:rsid w:val="00A11C89"/>
    <w:rsid w:val="00A13AC2"/>
    <w:rsid w:val="00A145C5"/>
    <w:rsid w:val="00A15606"/>
    <w:rsid w:val="00A1756A"/>
    <w:rsid w:val="00A20335"/>
    <w:rsid w:val="00A20D9E"/>
    <w:rsid w:val="00A2139A"/>
    <w:rsid w:val="00A22154"/>
    <w:rsid w:val="00A239EE"/>
    <w:rsid w:val="00A272C3"/>
    <w:rsid w:val="00A30A29"/>
    <w:rsid w:val="00A33CB9"/>
    <w:rsid w:val="00A33F8E"/>
    <w:rsid w:val="00A407F7"/>
    <w:rsid w:val="00A41045"/>
    <w:rsid w:val="00A41739"/>
    <w:rsid w:val="00A41EE9"/>
    <w:rsid w:val="00A434A0"/>
    <w:rsid w:val="00A448D0"/>
    <w:rsid w:val="00A4496E"/>
    <w:rsid w:val="00A4795A"/>
    <w:rsid w:val="00A47C77"/>
    <w:rsid w:val="00A51007"/>
    <w:rsid w:val="00A51B55"/>
    <w:rsid w:val="00A55623"/>
    <w:rsid w:val="00A5631F"/>
    <w:rsid w:val="00A56F41"/>
    <w:rsid w:val="00A630A8"/>
    <w:rsid w:val="00A63647"/>
    <w:rsid w:val="00A63953"/>
    <w:rsid w:val="00A63B6A"/>
    <w:rsid w:val="00A6495B"/>
    <w:rsid w:val="00A64B6A"/>
    <w:rsid w:val="00A650F3"/>
    <w:rsid w:val="00A6601C"/>
    <w:rsid w:val="00A673B1"/>
    <w:rsid w:val="00A67C61"/>
    <w:rsid w:val="00A72334"/>
    <w:rsid w:val="00A73043"/>
    <w:rsid w:val="00A7377F"/>
    <w:rsid w:val="00A7618C"/>
    <w:rsid w:val="00A76C78"/>
    <w:rsid w:val="00A7752B"/>
    <w:rsid w:val="00A7785F"/>
    <w:rsid w:val="00A8110F"/>
    <w:rsid w:val="00A844AC"/>
    <w:rsid w:val="00A90ECA"/>
    <w:rsid w:val="00A9246C"/>
    <w:rsid w:val="00A95BA1"/>
    <w:rsid w:val="00A96421"/>
    <w:rsid w:val="00A97E0D"/>
    <w:rsid w:val="00AA0B16"/>
    <w:rsid w:val="00AA1F2A"/>
    <w:rsid w:val="00AA1FDC"/>
    <w:rsid w:val="00AA4CAF"/>
    <w:rsid w:val="00AA7FFB"/>
    <w:rsid w:val="00AB034F"/>
    <w:rsid w:val="00AB0507"/>
    <w:rsid w:val="00AB1C4A"/>
    <w:rsid w:val="00AB6255"/>
    <w:rsid w:val="00AB6A80"/>
    <w:rsid w:val="00AB7674"/>
    <w:rsid w:val="00AC1BDA"/>
    <w:rsid w:val="00AC4EA4"/>
    <w:rsid w:val="00AC58D2"/>
    <w:rsid w:val="00AC59FF"/>
    <w:rsid w:val="00AC7ECB"/>
    <w:rsid w:val="00AD0E19"/>
    <w:rsid w:val="00AD1C3D"/>
    <w:rsid w:val="00AD1C88"/>
    <w:rsid w:val="00AD25C3"/>
    <w:rsid w:val="00AD2E3F"/>
    <w:rsid w:val="00AD31F0"/>
    <w:rsid w:val="00AD3977"/>
    <w:rsid w:val="00AD408C"/>
    <w:rsid w:val="00AD487D"/>
    <w:rsid w:val="00AD5500"/>
    <w:rsid w:val="00AE1358"/>
    <w:rsid w:val="00AE319E"/>
    <w:rsid w:val="00AE4C34"/>
    <w:rsid w:val="00AE4F11"/>
    <w:rsid w:val="00AE7204"/>
    <w:rsid w:val="00AF0D82"/>
    <w:rsid w:val="00AF1321"/>
    <w:rsid w:val="00AF4E31"/>
    <w:rsid w:val="00AF5A2A"/>
    <w:rsid w:val="00AF6C09"/>
    <w:rsid w:val="00B011FB"/>
    <w:rsid w:val="00B021E2"/>
    <w:rsid w:val="00B02B5F"/>
    <w:rsid w:val="00B04DD8"/>
    <w:rsid w:val="00B05289"/>
    <w:rsid w:val="00B0528A"/>
    <w:rsid w:val="00B054B7"/>
    <w:rsid w:val="00B07450"/>
    <w:rsid w:val="00B07C66"/>
    <w:rsid w:val="00B10B3F"/>
    <w:rsid w:val="00B13003"/>
    <w:rsid w:val="00B134AD"/>
    <w:rsid w:val="00B13ACB"/>
    <w:rsid w:val="00B160AA"/>
    <w:rsid w:val="00B169ED"/>
    <w:rsid w:val="00B21713"/>
    <w:rsid w:val="00B22147"/>
    <w:rsid w:val="00B2436E"/>
    <w:rsid w:val="00B254FB"/>
    <w:rsid w:val="00B266D1"/>
    <w:rsid w:val="00B2683D"/>
    <w:rsid w:val="00B34E53"/>
    <w:rsid w:val="00B371BC"/>
    <w:rsid w:val="00B40977"/>
    <w:rsid w:val="00B40DA0"/>
    <w:rsid w:val="00B42CE9"/>
    <w:rsid w:val="00B4439D"/>
    <w:rsid w:val="00B45473"/>
    <w:rsid w:val="00B5084F"/>
    <w:rsid w:val="00B5107D"/>
    <w:rsid w:val="00B5511B"/>
    <w:rsid w:val="00B55AF1"/>
    <w:rsid w:val="00B566E9"/>
    <w:rsid w:val="00B60A88"/>
    <w:rsid w:val="00B62DD8"/>
    <w:rsid w:val="00B634F2"/>
    <w:rsid w:val="00B654C7"/>
    <w:rsid w:val="00B710A8"/>
    <w:rsid w:val="00B72B85"/>
    <w:rsid w:val="00B735B1"/>
    <w:rsid w:val="00B737C0"/>
    <w:rsid w:val="00B753D6"/>
    <w:rsid w:val="00B75FD6"/>
    <w:rsid w:val="00B7703F"/>
    <w:rsid w:val="00B800E4"/>
    <w:rsid w:val="00B82B88"/>
    <w:rsid w:val="00B85886"/>
    <w:rsid w:val="00B86C79"/>
    <w:rsid w:val="00B927AF"/>
    <w:rsid w:val="00B92840"/>
    <w:rsid w:val="00B92A1B"/>
    <w:rsid w:val="00B9370E"/>
    <w:rsid w:val="00B94BBB"/>
    <w:rsid w:val="00B94D66"/>
    <w:rsid w:val="00B9585E"/>
    <w:rsid w:val="00B96184"/>
    <w:rsid w:val="00BA0DCE"/>
    <w:rsid w:val="00BA2808"/>
    <w:rsid w:val="00BA34B0"/>
    <w:rsid w:val="00BA3B8F"/>
    <w:rsid w:val="00BA3CF9"/>
    <w:rsid w:val="00BA7477"/>
    <w:rsid w:val="00BA7C8F"/>
    <w:rsid w:val="00BB106F"/>
    <w:rsid w:val="00BB27E5"/>
    <w:rsid w:val="00BB4B91"/>
    <w:rsid w:val="00BB5D6B"/>
    <w:rsid w:val="00BB77DE"/>
    <w:rsid w:val="00BC1306"/>
    <w:rsid w:val="00BC17AC"/>
    <w:rsid w:val="00BC676E"/>
    <w:rsid w:val="00BD36F5"/>
    <w:rsid w:val="00BD4049"/>
    <w:rsid w:val="00BD42CF"/>
    <w:rsid w:val="00BD48E8"/>
    <w:rsid w:val="00BD562E"/>
    <w:rsid w:val="00BD6074"/>
    <w:rsid w:val="00BE0695"/>
    <w:rsid w:val="00BE0D10"/>
    <w:rsid w:val="00BE145D"/>
    <w:rsid w:val="00BE4F8A"/>
    <w:rsid w:val="00BE5249"/>
    <w:rsid w:val="00BE5786"/>
    <w:rsid w:val="00BE5D88"/>
    <w:rsid w:val="00BE667F"/>
    <w:rsid w:val="00BE6930"/>
    <w:rsid w:val="00BE7860"/>
    <w:rsid w:val="00BE799B"/>
    <w:rsid w:val="00BF0914"/>
    <w:rsid w:val="00BF09CD"/>
    <w:rsid w:val="00BF1865"/>
    <w:rsid w:val="00BF1A84"/>
    <w:rsid w:val="00C011A9"/>
    <w:rsid w:val="00C0742A"/>
    <w:rsid w:val="00C07654"/>
    <w:rsid w:val="00C105B0"/>
    <w:rsid w:val="00C13AFC"/>
    <w:rsid w:val="00C15910"/>
    <w:rsid w:val="00C227A3"/>
    <w:rsid w:val="00C22BDC"/>
    <w:rsid w:val="00C23B7C"/>
    <w:rsid w:val="00C24837"/>
    <w:rsid w:val="00C30517"/>
    <w:rsid w:val="00C31038"/>
    <w:rsid w:val="00C331A7"/>
    <w:rsid w:val="00C35527"/>
    <w:rsid w:val="00C36A9D"/>
    <w:rsid w:val="00C371A4"/>
    <w:rsid w:val="00C416C5"/>
    <w:rsid w:val="00C41C34"/>
    <w:rsid w:val="00C42B85"/>
    <w:rsid w:val="00C47DC8"/>
    <w:rsid w:val="00C5005F"/>
    <w:rsid w:val="00C5335D"/>
    <w:rsid w:val="00C54593"/>
    <w:rsid w:val="00C54E54"/>
    <w:rsid w:val="00C55031"/>
    <w:rsid w:val="00C558BE"/>
    <w:rsid w:val="00C55C90"/>
    <w:rsid w:val="00C561A7"/>
    <w:rsid w:val="00C601DD"/>
    <w:rsid w:val="00C62641"/>
    <w:rsid w:val="00C63620"/>
    <w:rsid w:val="00C6395F"/>
    <w:rsid w:val="00C6410C"/>
    <w:rsid w:val="00C65461"/>
    <w:rsid w:val="00C67C2D"/>
    <w:rsid w:val="00C67C87"/>
    <w:rsid w:val="00C7247D"/>
    <w:rsid w:val="00C72ED4"/>
    <w:rsid w:val="00C73213"/>
    <w:rsid w:val="00C7606B"/>
    <w:rsid w:val="00C7652C"/>
    <w:rsid w:val="00C76C20"/>
    <w:rsid w:val="00C770E7"/>
    <w:rsid w:val="00C77171"/>
    <w:rsid w:val="00C77C80"/>
    <w:rsid w:val="00C81D75"/>
    <w:rsid w:val="00C82B95"/>
    <w:rsid w:val="00C8358E"/>
    <w:rsid w:val="00C857E5"/>
    <w:rsid w:val="00C87D7B"/>
    <w:rsid w:val="00C87E8E"/>
    <w:rsid w:val="00C9305F"/>
    <w:rsid w:val="00C94C63"/>
    <w:rsid w:val="00C94D73"/>
    <w:rsid w:val="00C96D41"/>
    <w:rsid w:val="00C9764E"/>
    <w:rsid w:val="00CA0466"/>
    <w:rsid w:val="00CA09E9"/>
    <w:rsid w:val="00CA5AAC"/>
    <w:rsid w:val="00CA5F8D"/>
    <w:rsid w:val="00CA6D47"/>
    <w:rsid w:val="00CB0605"/>
    <w:rsid w:val="00CB1C7C"/>
    <w:rsid w:val="00CB1CE6"/>
    <w:rsid w:val="00CB3819"/>
    <w:rsid w:val="00CB3D2A"/>
    <w:rsid w:val="00CB461D"/>
    <w:rsid w:val="00CB6ADA"/>
    <w:rsid w:val="00CC0E22"/>
    <w:rsid w:val="00CC2AF9"/>
    <w:rsid w:val="00CC2D74"/>
    <w:rsid w:val="00CC386E"/>
    <w:rsid w:val="00CC5077"/>
    <w:rsid w:val="00CC715F"/>
    <w:rsid w:val="00CC73C9"/>
    <w:rsid w:val="00CC7FF7"/>
    <w:rsid w:val="00CD02C9"/>
    <w:rsid w:val="00CD1B23"/>
    <w:rsid w:val="00CD3E2E"/>
    <w:rsid w:val="00CD49F4"/>
    <w:rsid w:val="00CD56E8"/>
    <w:rsid w:val="00CD5BFD"/>
    <w:rsid w:val="00CD63C5"/>
    <w:rsid w:val="00CD7931"/>
    <w:rsid w:val="00CE09B5"/>
    <w:rsid w:val="00CE177E"/>
    <w:rsid w:val="00CE199A"/>
    <w:rsid w:val="00CE3D17"/>
    <w:rsid w:val="00CE3EBE"/>
    <w:rsid w:val="00CE4C4D"/>
    <w:rsid w:val="00CE5CD3"/>
    <w:rsid w:val="00CE6095"/>
    <w:rsid w:val="00CF15FD"/>
    <w:rsid w:val="00CF2472"/>
    <w:rsid w:val="00CF27A7"/>
    <w:rsid w:val="00CF3D36"/>
    <w:rsid w:val="00CF5EBF"/>
    <w:rsid w:val="00CF621B"/>
    <w:rsid w:val="00D00FF3"/>
    <w:rsid w:val="00D022E6"/>
    <w:rsid w:val="00D041AE"/>
    <w:rsid w:val="00D13A05"/>
    <w:rsid w:val="00D144D8"/>
    <w:rsid w:val="00D149CB"/>
    <w:rsid w:val="00D20182"/>
    <w:rsid w:val="00D20517"/>
    <w:rsid w:val="00D207AE"/>
    <w:rsid w:val="00D20E7B"/>
    <w:rsid w:val="00D22855"/>
    <w:rsid w:val="00D22FBE"/>
    <w:rsid w:val="00D230C2"/>
    <w:rsid w:val="00D238E5"/>
    <w:rsid w:val="00D23AD5"/>
    <w:rsid w:val="00D25BC2"/>
    <w:rsid w:val="00D263F6"/>
    <w:rsid w:val="00D304FF"/>
    <w:rsid w:val="00D3195B"/>
    <w:rsid w:val="00D32919"/>
    <w:rsid w:val="00D342FA"/>
    <w:rsid w:val="00D3501E"/>
    <w:rsid w:val="00D41F4E"/>
    <w:rsid w:val="00D42D87"/>
    <w:rsid w:val="00D5480A"/>
    <w:rsid w:val="00D555E0"/>
    <w:rsid w:val="00D5568C"/>
    <w:rsid w:val="00D602DA"/>
    <w:rsid w:val="00D63548"/>
    <w:rsid w:val="00D70E09"/>
    <w:rsid w:val="00D71A45"/>
    <w:rsid w:val="00D74083"/>
    <w:rsid w:val="00D74940"/>
    <w:rsid w:val="00D75FDD"/>
    <w:rsid w:val="00D76C8E"/>
    <w:rsid w:val="00D77CFC"/>
    <w:rsid w:val="00D802E8"/>
    <w:rsid w:val="00D823FD"/>
    <w:rsid w:val="00D84F68"/>
    <w:rsid w:val="00D858EB"/>
    <w:rsid w:val="00D868F8"/>
    <w:rsid w:val="00D91BF0"/>
    <w:rsid w:val="00D91F3C"/>
    <w:rsid w:val="00D922F9"/>
    <w:rsid w:val="00D9249F"/>
    <w:rsid w:val="00D92EE3"/>
    <w:rsid w:val="00D93E5B"/>
    <w:rsid w:val="00D96AFB"/>
    <w:rsid w:val="00D97CEA"/>
    <w:rsid w:val="00DA12C3"/>
    <w:rsid w:val="00DA16AB"/>
    <w:rsid w:val="00DA21F2"/>
    <w:rsid w:val="00DA2627"/>
    <w:rsid w:val="00DA6584"/>
    <w:rsid w:val="00DA6661"/>
    <w:rsid w:val="00DA7B65"/>
    <w:rsid w:val="00DB2F88"/>
    <w:rsid w:val="00DB3CD3"/>
    <w:rsid w:val="00DB43C3"/>
    <w:rsid w:val="00DB5ED4"/>
    <w:rsid w:val="00DC0DD2"/>
    <w:rsid w:val="00DC1E35"/>
    <w:rsid w:val="00DC2D18"/>
    <w:rsid w:val="00DC4C95"/>
    <w:rsid w:val="00DD079E"/>
    <w:rsid w:val="00DD086A"/>
    <w:rsid w:val="00DD2097"/>
    <w:rsid w:val="00DD26D5"/>
    <w:rsid w:val="00DD2CE4"/>
    <w:rsid w:val="00DD2E74"/>
    <w:rsid w:val="00DD3304"/>
    <w:rsid w:val="00DD3DC2"/>
    <w:rsid w:val="00DD4B47"/>
    <w:rsid w:val="00DD76D9"/>
    <w:rsid w:val="00DE328A"/>
    <w:rsid w:val="00DE3973"/>
    <w:rsid w:val="00DE7408"/>
    <w:rsid w:val="00DF155D"/>
    <w:rsid w:val="00DF1B5F"/>
    <w:rsid w:val="00DF29D0"/>
    <w:rsid w:val="00DF6585"/>
    <w:rsid w:val="00E02730"/>
    <w:rsid w:val="00E029D5"/>
    <w:rsid w:val="00E0322C"/>
    <w:rsid w:val="00E036D6"/>
    <w:rsid w:val="00E03E82"/>
    <w:rsid w:val="00E054F6"/>
    <w:rsid w:val="00E05BAA"/>
    <w:rsid w:val="00E10411"/>
    <w:rsid w:val="00E11389"/>
    <w:rsid w:val="00E11D44"/>
    <w:rsid w:val="00E14EB5"/>
    <w:rsid w:val="00E1554C"/>
    <w:rsid w:val="00E15791"/>
    <w:rsid w:val="00E1784F"/>
    <w:rsid w:val="00E21CFD"/>
    <w:rsid w:val="00E22B51"/>
    <w:rsid w:val="00E23CAE"/>
    <w:rsid w:val="00E242D2"/>
    <w:rsid w:val="00E25517"/>
    <w:rsid w:val="00E25672"/>
    <w:rsid w:val="00E25A02"/>
    <w:rsid w:val="00E26F27"/>
    <w:rsid w:val="00E27A55"/>
    <w:rsid w:val="00E334BB"/>
    <w:rsid w:val="00E345A4"/>
    <w:rsid w:val="00E350CF"/>
    <w:rsid w:val="00E3585B"/>
    <w:rsid w:val="00E363D7"/>
    <w:rsid w:val="00E408B0"/>
    <w:rsid w:val="00E41646"/>
    <w:rsid w:val="00E41685"/>
    <w:rsid w:val="00E4460A"/>
    <w:rsid w:val="00E474C2"/>
    <w:rsid w:val="00E47A56"/>
    <w:rsid w:val="00E514B5"/>
    <w:rsid w:val="00E52E5C"/>
    <w:rsid w:val="00E531D7"/>
    <w:rsid w:val="00E55871"/>
    <w:rsid w:val="00E55B22"/>
    <w:rsid w:val="00E57359"/>
    <w:rsid w:val="00E61872"/>
    <w:rsid w:val="00E61DCB"/>
    <w:rsid w:val="00E61E12"/>
    <w:rsid w:val="00E64EF0"/>
    <w:rsid w:val="00E653B9"/>
    <w:rsid w:val="00E6695B"/>
    <w:rsid w:val="00E7150F"/>
    <w:rsid w:val="00E7207D"/>
    <w:rsid w:val="00E74B3F"/>
    <w:rsid w:val="00E74D55"/>
    <w:rsid w:val="00E81028"/>
    <w:rsid w:val="00E814E1"/>
    <w:rsid w:val="00E8202E"/>
    <w:rsid w:val="00E821D2"/>
    <w:rsid w:val="00E8308E"/>
    <w:rsid w:val="00E91684"/>
    <w:rsid w:val="00E92D5B"/>
    <w:rsid w:val="00E9310F"/>
    <w:rsid w:val="00E95246"/>
    <w:rsid w:val="00E9578A"/>
    <w:rsid w:val="00E95A48"/>
    <w:rsid w:val="00E95CD8"/>
    <w:rsid w:val="00E96711"/>
    <w:rsid w:val="00EA087C"/>
    <w:rsid w:val="00EA3A5E"/>
    <w:rsid w:val="00EA52F0"/>
    <w:rsid w:val="00EA6CA4"/>
    <w:rsid w:val="00EB0F5B"/>
    <w:rsid w:val="00EB29E4"/>
    <w:rsid w:val="00EB3872"/>
    <w:rsid w:val="00EB53AB"/>
    <w:rsid w:val="00EB64EE"/>
    <w:rsid w:val="00EB7E27"/>
    <w:rsid w:val="00EC13C9"/>
    <w:rsid w:val="00EC239B"/>
    <w:rsid w:val="00EC52E9"/>
    <w:rsid w:val="00EC6619"/>
    <w:rsid w:val="00EC6AFB"/>
    <w:rsid w:val="00EC6E73"/>
    <w:rsid w:val="00EC728C"/>
    <w:rsid w:val="00ED19C0"/>
    <w:rsid w:val="00ED1EF8"/>
    <w:rsid w:val="00ED3AC6"/>
    <w:rsid w:val="00ED4B51"/>
    <w:rsid w:val="00ED52E3"/>
    <w:rsid w:val="00ED581C"/>
    <w:rsid w:val="00EE240B"/>
    <w:rsid w:val="00EE3672"/>
    <w:rsid w:val="00EE3E98"/>
    <w:rsid w:val="00EE3F85"/>
    <w:rsid w:val="00EE4AD8"/>
    <w:rsid w:val="00EE55CC"/>
    <w:rsid w:val="00EE6AC3"/>
    <w:rsid w:val="00EE7072"/>
    <w:rsid w:val="00EE7866"/>
    <w:rsid w:val="00EF1874"/>
    <w:rsid w:val="00EF32E2"/>
    <w:rsid w:val="00EF382B"/>
    <w:rsid w:val="00EF5AD0"/>
    <w:rsid w:val="00EF7BD0"/>
    <w:rsid w:val="00F0032F"/>
    <w:rsid w:val="00F0389B"/>
    <w:rsid w:val="00F1060D"/>
    <w:rsid w:val="00F108D3"/>
    <w:rsid w:val="00F11498"/>
    <w:rsid w:val="00F12E26"/>
    <w:rsid w:val="00F1357C"/>
    <w:rsid w:val="00F14DB2"/>
    <w:rsid w:val="00F15A55"/>
    <w:rsid w:val="00F1611F"/>
    <w:rsid w:val="00F21F31"/>
    <w:rsid w:val="00F2384D"/>
    <w:rsid w:val="00F23CF7"/>
    <w:rsid w:val="00F26182"/>
    <w:rsid w:val="00F262A3"/>
    <w:rsid w:val="00F276EE"/>
    <w:rsid w:val="00F27F27"/>
    <w:rsid w:val="00F3105B"/>
    <w:rsid w:val="00F336D7"/>
    <w:rsid w:val="00F41E54"/>
    <w:rsid w:val="00F4258D"/>
    <w:rsid w:val="00F426A6"/>
    <w:rsid w:val="00F4642C"/>
    <w:rsid w:val="00F47304"/>
    <w:rsid w:val="00F47358"/>
    <w:rsid w:val="00F475D7"/>
    <w:rsid w:val="00F51E3B"/>
    <w:rsid w:val="00F534C2"/>
    <w:rsid w:val="00F56991"/>
    <w:rsid w:val="00F56DA8"/>
    <w:rsid w:val="00F57C44"/>
    <w:rsid w:val="00F61185"/>
    <w:rsid w:val="00F631D2"/>
    <w:rsid w:val="00F63390"/>
    <w:rsid w:val="00F64797"/>
    <w:rsid w:val="00F64F0B"/>
    <w:rsid w:val="00F64F92"/>
    <w:rsid w:val="00F65EA9"/>
    <w:rsid w:val="00F70139"/>
    <w:rsid w:val="00F7050C"/>
    <w:rsid w:val="00F70CB6"/>
    <w:rsid w:val="00F71431"/>
    <w:rsid w:val="00F728B4"/>
    <w:rsid w:val="00F730C6"/>
    <w:rsid w:val="00F74109"/>
    <w:rsid w:val="00F76AE2"/>
    <w:rsid w:val="00F775AB"/>
    <w:rsid w:val="00F77A80"/>
    <w:rsid w:val="00F822AF"/>
    <w:rsid w:val="00F83168"/>
    <w:rsid w:val="00F83C96"/>
    <w:rsid w:val="00F84704"/>
    <w:rsid w:val="00F86028"/>
    <w:rsid w:val="00F86D43"/>
    <w:rsid w:val="00F87CF0"/>
    <w:rsid w:val="00F91AC7"/>
    <w:rsid w:val="00F93030"/>
    <w:rsid w:val="00F95D1A"/>
    <w:rsid w:val="00FA1541"/>
    <w:rsid w:val="00FA2A51"/>
    <w:rsid w:val="00FA626D"/>
    <w:rsid w:val="00FB27F7"/>
    <w:rsid w:val="00FB3826"/>
    <w:rsid w:val="00FB4743"/>
    <w:rsid w:val="00FB5696"/>
    <w:rsid w:val="00FC0B36"/>
    <w:rsid w:val="00FC3942"/>
    <w:rsid w:val="00FC46F0"/>
    <w:rsid w:val="00FC479C"/>
    <w:rsid w:val="00FC487A"/>
    <w:rsid w:val="00FC575E"/>
    <w:rsid w:val="00FC6800"/>
    <w:rsid w:val="00FC7FB1"/>
    <w:rsid w:val="00FD0A8D"/>
    <w:rsid w:val="00FD0BBE"/>
    <w:rsid w:val="00FD1DF4"/>
    <w:rsid w:val="00FD4864"/>
    <w:rsid w:val="00FE1B13"/>
    <w:rsid w:val="00FE1C9B"/>
    <w:rsid w:val="00FE333D"/>
    <w:rsid w:val="00FE35CE"/>
    <w:rsid w:val="00FE45C7"/>
    <w:rsid w:val="00FE66AC"/>
    <w:rsid w:val="00FE6AEC"/>
    <w:rsid w:val="00FE7458"/>
    <w:rsid w:val="00FF429A"/>
    <w:rsid w:val="00FF51EC"/>
    <w:rsid w:val="00FF70C6"/>
    <w:rsid w:val="17C11A73"/>
    <w:rsid w:val="1A2CAB2C"/>
    <w:rsid w:val="1DEAA1AF"/>
    <w:rsid w:val="1E2E9991"/>
    <w:rsid w:val="2D1D0878"/>
    <w:rsid w:val="39AEDAD7"/>
    <w:rsid w:val="3CFDFAF5"/>
    <w:rsid w:val="43AA5B4C"/>
    <w:rsid w:val="4A6F35EB"/>
    <w:rsid w:val="4EDB6D7A"/>
    <w:rsid w:val="6E1A720F"/>
    <w:rsid w:val="7129E778"/>
    <w:rsid w:val="72125A16"/>
    <w:rsid w:val="72394569"/>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6AD90"/>
  <w15:docId w15:val="{477F9EA7-BFA3-4DA3-9485-3A07D50E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B82B88"/>
    <w:rPr>
      <w:rFonts w:ascii="Open Sans" w:eastAsia="Open Sans" w:hAnsi="Open Sans" w:cs="Open Sans"/>
      <w:lang w:val="en-GB" w:eastAsia="en-GB" w:bidi="en-GB"/>
    </w:rPr>
  </w:style>
  <w:style w:type="paragraph" w:styleId="Heading1">
    <w:name w:val="heading 1"/>
    <w:link w:val="Heading1Char"/>
    <w:uiPriority w:val="1"/>
    <w:qFormat/>
    <w:rsid w:val="002415B9"/>
    <w:pPr>
      <w:ind w:left="117"/>
      <w:outlineLvl w:val="0"/>
    </w:pPr>
    <w:rPr>
      <w:rFonts w:ascii="Open Sans SemiBold" w:eastAsia="Open Sans" w:hAnsi="Open Sans SemiBold" w:cs="Open Sans"/>
      <w:bCs/>
      <w:color w:val="3369A9" w:themeColor="background1"/>
      <w:sz w:val="24"/>
      <w:szCs w:val="26"/>
      <w:lang w:val="en-GB" w:eastAsia="en-GB" w:bidi="en-GB"/>
    </w:rPr>
  </w:style>
  <w:style w:type="paragraph" w:styleId="Heading2">
    <w:name w:val="heading 2"/>
    <w:basedOn w:val="Normal"/>
    <w:next w:val="Normal"/>
    <w:link w:val="Heading2Char"/>
    <w:uiPriority w:val="9"/>
    <w:unhideWhenUsed/>
    <w:qFormat/>
    <w:rsid w:val="003B7F37"/>
    <w:pPr>
      <w:keepNext/>
      <w:keepLines/>
      <w:spacing w:before="40" w:line="211" w:lineRule="auto"/>
      <w:ind w:left="117" w:right="558"/>
      <w:outlineLvl w:val="1"/>
    </w:pPr>
    <w:rPr>
      <w:rFonts w:asciiTheme="majorHAnsi" w:eastAsiaTheme="majorEastAsia" w:hAnsiTheme="majorHAnsi" w:cstheme="majorBidi"/>
      <w:bCs/>
      <w:color w:val="575756" w:themeColor="background2"/>
      <w:sz w:val="24"/>
      <w:szCs w:val="26"/>
      <w:lang w:val="en-US"/>
    </w:rPr>
  </w:style>
  <w:style w:type="paragraph" w:styleId="Heading3">
    <w:name w:val="heading 3"/>
    <w:basedOn w:val="Normal"/>
    <w:next w:val="Normal"/>
    <w:link w:val="Heading3Char"/>
    <w:uiPriority w:val="9"/>
    <w:unhideWhenUsed/>
    <w:qFormat/>
    <w:rsid w:val="00C105B0"/>
    <w:pPr>
      <w:keepNext/>
      <w:keepLines/>
      <w:spacing w:before="40"/>
      <w:ind w:left="720"/>
      <w:outlineLvl w:val="2"/>
    </w:pPr>
    <w:rPr>
      <w:rFonts w:asciiTheme="majorHAnsi" w:eastAsiaTheme="majorEastAsia" w:hAnsiTheme="majorHAnsi" w:cstheme="majorBidi"/>
      <w:color w:val="808080" w:themeColor="text1" w:themeShade="80"/>
      <w:szCs w:val="24"/>
    </w:rPr>
  </w:style>
  <w:style w:type="paragraph" w:styleId="Heading4">
    <w:name w:val="heading 4"/>
    <w:basedOn w:val="Normal"/>
    <w:next w:val="Normal"/>
    <w:link w:val="Heading4Char"/>
    <w:uiPriority w:val="9"/>
    <w:unhideWhenUsed/>
    <w:qFormat/>
    <w:rsid w:val="00316A94"/>
    <w:pPr>
      <w:keepNext/>
      <w:keepLines/>
      <w:spacing w:before="40"/>
      <w:outlineLvl w:val="3"/>
    </w:pPr>
    <w:rPr>
      <w:rFonts w:asciiTheme="majorHAnsi" w:eastAsiaTheme="majorEastAsia" w:hAnsiTheme="majorHAnsi" w:cstheme="majorBidi"/>
      <w:i/>
      <w:iCs/>
      <w:color w:val="5040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rFonts w:ascii="Open Sans SemiBold" w:eastAsia="Open Sans SemiBold" w:hAnsi="Open Sans SemiBold" w:cs="Open Sans SemiBold"/>
      <w:sz w:val="24"/>
      <w:szCs w:val="24"/>
    </w:rPr>
  </w:style>
  <w:style w:type="paragraph" w:styleId="ListParagraph">
    <w:name w:val="List Paragraph"/>
    <w:basedOn w:val="Normal"/>
    <w:link w:val="ListParagraphChar"/>
    <w:uiPriority w:val="34"/>
    <w:qFormat/>
    <w:pPr>
      <w:ind w:left="302" w:hanging="182"/>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DB5ED4"/>
    <w:pPr>
      <w:tabs>
        <w:tab w:val="center" w:pos="4536"/>
        <w:tab w:val="right" w:pos="9072"/>
      </w:tabs>
    </w:pPr>
  </w:style>
  <w:style w:type="character" w:customStyle="1" w:styleId="HeaderChar">
    <w:name w:val="Header Char"/>
    <w:basedOn w:val="DefaultParagraphFont"/>
    <w:link w:val="Header"/>
    <w:uiPriority w:val="99"/>
    <w:rsid w:val="00DB5ED4"/>
    <w:rPr>
      <w:rFonts w:ascii="Open Sans" w:eastAsia="Open Sans" w:hAnsi="Open Sans" w:cs="Open Sans"/>
      <w:lang w:val="en-GB" w:eastAsia="en-GB" w:bidi="en-GB"/>
    </w:rPr>
  </w:style>
  <w:style w:type="paragraph" w:styleId="Footer">
    <w:name w:val="footer"/>
    <w:basedOn w:val="Normal"/>
    <w:link w:val="FooterChar"/>
    <w:uiPriority w:val="99"/>
    <w:unhideWhenUsed/>
    <w:rsid w:val="00DB5ED4"/>
    <w:pPr>
      <w:tabs>
        <w:tab w:val="center" w:pos="4536"/>
        <w:tab w:val="right" w:pos="9072"/>
      </w:tabs>
    </w:pPr>
  </w:style>
  <w:style w:type="character" w:customStyle="1" w:styleId="FooterChar">
    <w:name w:val="Footer Char"/>
    <w:basedOn w:val="DefaultParagraphFont"/>
    <w:link w:val="Footer"/>
    <w:uiPriority w:val="99"/>
    <w:rsid w:val="00DB5ED4"/>
    <w:rPr>
      <w:rFonts w:ascii="Open Sans" w:eastAsia="Open Sans" w:hAnsi="Open Sans" w:cs="Open Sans"/>
      <w:lang w:val="en-GB" w:eastAsia="en-GB" w:bidi="en-GB"/>
    </w:rPr>
  </w:style>
  <w:style w:type="character" w:customStyle="1" w:styleId="BodyTextChar">
    <w:name w:val="Body Text Char"/>
    <w:basedOn w:val="DefaultParagraphFont"/>
    <w:link w:val="BodyText"/>
    <w:uiPriority w:val="1"/>
    <w:rsid w:val="007569DB"/>
    <w:rPr>
      <w:rFonts w:ascii="Open Sans SemiBold" w:eastAsia="Open Sans SemiBold" w:hAnsi="Open Sans SemiBold" w:cs="Open Sans SemiBold"/>
      <w:sz w:val="24"/>
      <w:szCs w:val="24"/>
      <w:lang w:val="en-GB" w:eastAsia="en-GB" w:bidi="en-GB"/>
    </w:rPr>
  </w:style>
  <w:style w:type="paragraph" w:styleId="Title">
    <w:name w:val="Title"/>
    <w:basedOn w:val="Normal"/>
    <w:next w:val="Normal"/>
    <w:link w:val="TitleChar"/>
    <w:uiPriority w:val="10"/>
    <w:rsid w:val="003B7F37"/>
    <w:pPr>
      <w:contextualSpacing/>
    </w:pPr>
    <w:rPr>
      <w:rFonts w:asciiTheme="majorHAnsi" w:eastAsiaTheme="majorEastAsia" w:hAnsiTheme="majorHAnsi" w:cstheme="majorBidi"/>
      <w:color w:val="3369A9" w:themeColor="background1"/>
      <w:spacing w:val="-10"/>
      <w:kern w:val="28"/>
      <w:sz w:val="24"/>
      <w:szCs w:val="56"/>
    </w:rPr>
  </w:style>
  <w:style w:type="paragraph" w:customStyle="1" w:styleId="Secondtitle">
    <w:name w:val="Second title"/>
    <w:basedOn w:val="BodyText"/>
    <w:link w:val="SecondtitleChar"/>
    <w:uiPriority w:val="1"/>
    <w:qFormat/>
    <w:rsid w:val="00604581"/>
    <w:pPr>
      <w:spacing w:before="9" w:line="220" w:lineRule="auto"/>
      <w:ind w:left="120" w:right="558"/>
    </w:pPr>
    <w:rPr>
      <w:color w:val="575756"/>
      <w:lang w:val="pl-PL"/>
    </w:rPr>
  </w:style>
  <w:style w:type="paragraph" w:customStyle="1" w:styleId="MainBodyText">
    <w:name w:val="Main Body Text"/>
    <w:basedOn w:val="Normal"/>
    <w:link w:val="MainBodyTextChar"/>
    <w:uiPriority w:val="1"/>
    <w:qFormat/>
    <w:rsid w:val="00604581"/>
    <w:pPr>
      <w:spacing w:before="100"/>
      <w:ind w:left="120" w:right="558"/>
    </w:pPr>
    <w:rPr>
      <w:color w:val="575756"/>
      <w:sz w:val="20"/>
      <w:lang w:val="pl-PL"/>
    </w:rPr>
  </w:style>
  <w:style w:type="paragraph" w:customStyle="1" w:styleId="TableTitel">
    <w:name w:val="Table Titel"/>
    <w:basedOn w:val="TableParagraph"/>
    <w:uiPriority w:val="1"/>
    <w:qFormat/>
    <w:rsid w:val="00604581"/>
    <w:pPr>
      <w:ind w:left="613" w:right="387" w:hanging="111"/>
    </w:pPr>
    <w:rPr>
      <w:rFonts w:ascii="Open Sans SemiBold"/>
      <w:color w:val="FFFFFF"/>
    </w:rPr>
  </w:style>
  <w:style w:type="paragraph" w:customStyle="1" w:styleId="TableText">
    <w:name w:val="Table Text"/>
    <w:basedOn w:val="TableParagraph"/>
    <w:uiPriority w:val="1"/>
    <w:qFormat/>
    <w:rsid w:val="00604581"/>
    <w:pPr>
      <w:spacing w:before="87"/>
      <w:ind w:left="190"/>
    </w:pPr>
    <w:rPr>
      <w:color w:val="575756"/>
      <w:sz w:val="20"/>
    </w:rPr>
  </w:style>
  <w:style w:type="paragraph" w:customStyle="1" w:styleId="Bulletlevel1">
    <w:name w:val="Bullet level 1"/>
    <w:basedOn w:val="ListParagraph"/>
    <w:link w:val="Bulletlevel1Char"/>
    <w:uiPriority w:val="1"/>
    <w:qFormat/>
    <w:rsid w:val="008106FB"/>
    <w:pPr>
      <w:numPr>
        <w:numId w:val="1"/>
      </w:numPr>
      <w:tabs>
        <w:tab w:val="left" w:pos="709"/>
      </w:tabs>
    </w:pPr>
    <w:rPr>
      <w:color w:val="575756"/>
      <w:sz w:val="20"/>
    </w:rPr>
  </w:style>
  <w:style w:type="paragraph" w:customStyle="1" w:styleId="Bulletlevel2">
    <w:name w:val="Bullet level 2"/>
    <w:basedOn w:val="ListParagraph"/>
    <w:link w:val="Bulletlevel2Char"/>
    <w:uiPriority w:val="1"/>
    <w:qFormat/>
    <w:rsid w:val="008106FB"/>
    <w:pPr>
      <w:numPr>
        <w:ilvl w:val="1"/>
        <w:numId w:val="1"/>
      </w:numPr>
      <w:tabs>
        <w:tab w:val="left" w:pos="567"/>
        <w:tab w:val="left" w:pos="993"/>
      </w:tabs>
      <w:spacing w:line="276" w:lineRule="auto"/>
    </w:pPr>
    <w:rPr>
      <w:color w:val="575756"/>
      <w:sz w:val="18"/>
    </w:rPr>
  </w:style>
  <w:style w:type="character" w:customStyle="1" w:styleId="ListParagraphChar">
    <w:name w:val="List Paragraph Char"/>
    <w:basedOn w:val="DefaultParagraphFont"/>
    <w:link w:val="ListParagraph"/>
    <w:uiPriority w:val="1"/>
    <w:rsid w:val="008106FB"/>
    <w:rPr>
      <w:rFonts w:ascii="Open Sans" w:eastAsia="Open Sans" w:hAnsi="Open Sans" w:cs="Open Sans"/>
      <w:lang w:val="en-GB" w:eastAsia="en-GB" w:bidi="en-GB"/>
    </w:rPr>
  </w:style>
  <w:style w:type="character" w:customStyle="1" w:styleId="Bulletlevel1Char">
    <w:name w:val="Bullet level 1 Char"/>
    <w:basedOn w:val="ListParagraphChar"/>
    <w:link w:val="Bulletlevel1"/>
    <w:uiPriority w:val="1"/>
    <w:rsid w:val="008106FB"/>
    <w:rPr>
      <w:rFonts w:ascii="Open Sans" w:eastAsia="Open Sans" w:hAnsi="Open Sans" w:cs="Open Sans"/>
      <w:color w:val="575756"/>
      <w:sz w:val="20"/>
      <w:lang w:val="en-GB" w:eastAsia="en-GB" w:bidi="en-GB"/>
    </w:rPr>
  </w:style>
  <w:style w:type="paragraph" w:customStyle="1" w:styleId="Subtitlesecondlevelbullet">
    <w:name w:val="Subtitle second level bullet"/>
    <w:basedOn w:val="Normal"/>
    <w:link w:val="SubtitlesecondlevelbulletChar"/>
    <w:uiPriority w:val="1"/>
    <w:qFormat/>
    <w:rsid w:val="008106FB"/>
    <w:pPr>
      <w:tabs>
        <w:tab w:val="left" w:pos="567"/>
      </w:tabs>
      <w:spacing w:before="49" w:line="276" w:lineRule="auto"/>
      <w:ind w:left="275" w:firstLine="124"/>
    </w:pPr>
    <w:rPr>
      <w:rFonts w:ascii="Open Sans SemiBold"/>
      <w:color w:val="575756"/>
      <w:sz w:val="18"/>
    </w:rPr>
  </w:style>
  <w:style w:type="character" w:customStyle="1" w:styleId="Bulletlevel2Char">
    <w:name w:val="Bullet level 2 Char"/>
    <w:basedOn w:val="ListParagraphChar"/>
    <w:link w:val="Bulletlevel2"/>
    <w:uiPriority w:val="1"/>
    <w:rsid w:val="008106FB"/>
    <w:rPr>
      <w:rFonts w:ascii="Open Sans" w:eastAsia="Open Sans" w:hAnsi="Open Sans" w:cs="Open Sans"/>
      <w:color w:val="575756"/>
      <w:sz w:val="18"/>
      <w:lang w:val="en-GB" w:eastAsia="en-GB" w:bidi="en-GB"/>
    </w:rPr>
  </w:style>
  <w:style w:type="paragraph" w:customStyle="1" w:styleId="Titelforfirstlevelbullet">
    <w:name w:val="Titel for first level bullet"/>
    <w:basedOn w:val="Secondtitle"/>
    <w:link w:val="TitelforfirstlevelbulletChar"/>
    <w:uiPriority w:val="1"/>
    <w:qFormat/>
    <w:rsid w:val="008106FB"/>
    <w:pPr>
      <w:spacing w:line="276" w:lineRule="auto"/>
    </w:pPr>
    <w:rPr>
      <w:sz w:val="20"/>
      <w:szCs w:val="20"/>
    </w:rPr>
  </w:style>
  <w:style w:type="character" w:customStyle="1" w:styleId="SubtitlesecondlevelbulletChar">
    <w:name w:val="Subtitle second level bullet Char"/>
    <w:basedOn w:val="DefaultParagraphFont"/>
    <w:link w:val="Subtitlesecondlevelbullet"/>
    <w:uiPriority w:val="1"/>
    <w:rsid w:val="008106FB"/>
    <w:rPr>
      <w:rFonts w:ascii="Open Sans SemiBold" w:eastAsia="Open Sans" w:hAnsi="Open Sans" w:cs="Open Sans"/>
      <w:color w:val="575756"/>
      <w:sz w:val="18"/>
      <w:lang w:val="en-GB" w:eastAsia="en-GB" w:bidi="en-GB"/>
    </w:rPr>
  </w:style>
  <w:style w:type="paragraph" w:customStyle="1" w:styleId="Paragraphfirstlevel">
    <w:name w:val="Paragraph first level"/>
    <w:basedOn w:val="MainBodyText"/>
    <w:link w:val="ParagraphfirstlevelChar"/>
    <w:uiPriority w:val="1"/>
    <w:qFormat/>
    <w:rsid w:val="008106FB"/>
    <w:pPr>
      <w:numPr>
        <w:numId w:val="3"/>
      </w:numPr>
    </w:pPr>
  </w:style>
  <w:style w:type="character" w:customStyle="1" w:styleId="SecondtitleChar">
    <w:name w:val="Second title Char"/>
    <w:basedOn w:val="BodyTextChar"/>
    <w:link w:val="Secondtitle"/>
    <w:uiPriority w:val="1"/>
    <w:rsid w:val="008106FB"/>
    <w:rPr>
      <w:rFonts w:ascii="Open Sans SemiBold" w:eastAsia="Open Sans SemiBold" w:hAnsi="Open Sans SemiBold" w:cs="Open Sans SemiBold"/>
      <w:color w:val="575756"/>
      <w:sz w:val="24"/>
      <w:szCs w:val="24"/>
      <w:lang w:val="pl-PL" w:eastAsia="en-GB" w:bidi="en-GB"/>
    </w:rPr>
  </w:style>
  <w:style w:type="character" w:customStyle="1" w:styleId="TitelforfirstlevelbulletChar">
    <w:name w:val="Titel for first level bullet Char"/>
    <w:basedOn w:val="SecondtitleChar"/>
    <w:link w:val="Titelforfirstlevelbullet"/>
    <w:uiPriority w:val="1"/>
    <w:rsid w:val="008106FB"/>
    <w:rPr>
      <w:rFonts w:ascii="Open Sans SemiBold" w:eastAsia="Open Sans SemiBold" w:hAnsi="Open Sans SemiBold" w:cs="Open Sans SemiBold"/>
      <w:color w:val="575756"/>
      <w:sz w:val="20"/>
      <w:szCs w:val="20"/>
      <w:lang w:val="pl-PL" w:eastAsia="en-GB" w:bidi="en-GB"/>
    </w:rPr>
  </w:style>
  <w:style w:type="paragraph" w:customStyle="1" w:styleId="Paragraphsecondlevel">
    <w:name w:val="Paragraph second level"/>
    <w:basedOn w:val="MainBodyText"/>
    <w:link w:val="ParagraphsecondlevelChar"/>
    <w:autoRedefine/>
    <w:uiPriority w:val="1"/>
    <w:qFormat/>
    <w:rsid w:val="00F336D7"/>
    <w:pPr>
      <w:numPr>
        <w:ilvl w:val="7"/>
        <w:numId w:val="2"/>
      </w:numPr>
      <w:spacing w:line="276" w:lineRule="auto"/>
    </w:pPr>
    <w:rPr>
      <w:sz w:val="18"/>
      <w:szCs w:val="18"/>
    </w:rPr>
  </w:style>
  <w:style w:type="character" w:customStyle="1" w:styleId="MainBodyTextChar">
    <w:name w:val="Main Body Text Char"/>
    <w:basedOn w:val="DefaultParagraphFont"/>
    <w:link w:val="MainBodyText"/>
    <w:uiPriority w:val="1"/>
    <w:rsid w:val="008106FB"/>
    <w:rPr>
      <w:rFonts w:ascii="Open Sans" w:eastAsia="Open Sans" w:hAnsi="Open Sans" w:cs="Open Sans"/>
      <w:color w:val="575756"/>
      <w:sz w:val="20"/>
      <w:lang w:val="pl-PL" w:eastAsia="en-GB" w:bidi="en-GB"/>
    </w:rPr>
  </w:style>
  <w:style w:type="character" w:customStyle="1" w:styleId="ParagraphfirstlevelChar">
    <w:name w:val="Paragraph first level Char"/>
    <w:basedOn w:val="MainBodyTextChar"/>
    <w:link w:val="Paragraphfirstlevel"/>
    <w:uiPriority w:val="1"/>
    <w:rsid w:val="008106FB"/>
    <w:rPr>
      <w:rFonts w:ascii="Open Sans" w:eastAsia="Open Sans" w:hAnsi="Open Sans" w:cs="Open Sans"/>
      <w:color w:val="575756"/>
      <w:sz w:val="20"/>
      <w:lang w:val="pl-PL" w:eastAsia="en-GB" w:bidi="en-GB"/>
    </w:rPr>
  </w:style>
  <w:style w:type="paragraph" w:customStyle="1" w:styleId="Titelparagraphsecondlevel">
    <w:name w:val="Titel paragraph second level"/>
    <w:basedOn w:val="MainBodyText"/>
    <w:link w:val="TitelparagraphsecondlevelChar"/>
    <w:autoRedefine/>
    <w:uiPriority w:val="1"/>
    <w:qFormat/>
    <w:rsid w:val="00105042"/>
    <w:pPr>
      <w:ind w:left="360" w:firstLine="66"/>
    </w:pPr>
    <w:rPr>
      <w:rFonts w:asciiTheme="majorHAnsi" w:hAnsiTheme="majorHAnsi" w:cstheme="majorHAnsi"/>
      <w:sz w:val="18"/>
      <w:szCs w:val="18"/>
    </w:rPr>
  </w:style>
  <w:style w:type="character" w:customStyle="1" w:styleId="ParagraphsecondlevelChar">
    <w:name w:val="Paragraph second level Char"/>
    <w:basedOn w:val="MainBodyTextChar"/>
    <w:link w:val="Paragraphsecondlevel"/>
    <w:uiPriority w:val="1"/>
    <w:rsid w:val="00F336D7"/>
    <w:rPr>
      <w:rFonts w:ascii="Open Sans" w:eastAsia="Open Sans" w:hAnsi="Open Sans" w:cs="Open Sans"/>
      <w:color w:val="575756"/>
      <w:sz w:val="18"/>
      <w:szCs w:val="18"/>
      <w:lang w:val="pl-PL" w:eastAsia="en-GB" w:bidi="en-GB"/>
    </w:rPr>
  </w:style>
  <w:style w:type="paragraph" w:customStyle="1" w:styleId="Chapter">
    <w:name w:val="Chapter"/>
    <w:basedOn w:val="Secondtitle"/>
    <w:link w:val="ChapterChar"/>
    <w:autoRedefine/>
    <w:uiPriority w:val="1"/>
    <w:qFormat/>
    <w:rsid w:val="00C9305F"/>
    <w:pPr>
      <w:numPr>
        <w:numId w:val="4"/>
      </w:numPr>
      <w:tabs>
        <w:tab w:val="left" w:pos="426"/>
        <w:tab w:val="left" w:pos="567"/>
      </w:tabs>
      <w:spacing w:line="240" w:lineRule="auto"/>
    </w:pPr>
    <w:rPr>
      <w:rFonts w:asciiTheme="minorHAnsi" w:hAnsiTheme="minorHAnsi" w:cstheme="minorHAnsi"/>
      <w:sz w:val="22"/>
      <w:szCs w:val="22"/>
    </w:rPr>
  </w:style>
  <w:style w:type="character" w:customStyle="1" w:styleId="TitelparagraphsecondlevelChar">
    <w:name w:val="Titel paragraph second level Char"/>
    <w:basedOn w:val="MainBodyTextChar"/>
    <w:link w:val="Titelparagraphsecondlevel"/>
    <w:uiPriority w:val="1"/>
    <w:rsid w:val="00105042"/>
    <w:rPr>
      <w:rFonts w:asciiTheme="majorHAnsi" w:eastAsia="Open Sans" w:hAnsiTheme="majorHAnsi" w:cstheme="majorHAnsi"/>
      <w:color w:val="575756"/>
      <w:sz w:val="18"/>
      <w:szCs w:val="18"/>
      <w:lang w:val="pl-PL" w:eastAsia="en-GB" w:bidi="en-GB"/>
    </w:rPr>
  </w:style>
  <w:style w:type="paragraph" w:customStyle="1" w:styleId="ChapterTitle">
    <w:name w:val="Chapter Title"/>
    <w:basedOn w:val="Secondtitle"/>
    <w:link w:val="ChapterTitleChar"/>
    <w:uiPriority w:val="1"/>
    <w:qFormat/>
    <w:rsid w:val="00105042"/>
    <w:pPr>
      <w:spacing w:line="360" w:lineRule="auto"/>
      <w:ind w:left="0"/>
    </w:pPr>
  </w:style>
  <w:style w:type="character" w:customStyle="1" w:styleId="ChapterChar">
    <w:name w:val="Chapter Char"/>
    <w:basedOn w:val="SecondtitleChar"/>
    <w:link w:val="Chapter"/>
    <w:uiPriority w:val="1"/>
    <w:rsid w:val="00C9305F"/>
    <w:rPr>
      <w:rFonts w:ascii="Open Sans SemiBold" w:eastAsia="Open Sans SemiBold" w:hAnsi="Open Sans SemiBold" w:cstheme="minorHAnsi"/>
      <w:color w:val="575756"/>
      <w:sz w:val="24"/>
      <w:szCs w:val="24"/>
      <w:lang w:val="pl-PL" w:eastAsia="en-GB" w:bidi="en-GB"/>
    </w:rPr>
  </w:style>
  <w:style w:type="paragraph" w:customStyle="1" w:styleId="GreyTableTitle">
    <w:name w:val="Grey Table Title"/>
    <w:basedOn w:val="TableParagraph"/>
    <w:uiPriority w:val="1"/>
    <w:rsid w:val="00105042"/>
    <w:pPr>
      <w:spacing w:before="263"/>
      <w:ind w:left="581"/>
    </w:pPr>
    <w:rPr>
      <w:rFonts w:ascii="Open Sans SemiBold"/>
      <w:color w:val="575756"/>
    </w:rPr>
  </w:style>
  <w:style w:type="character" w:customStyle="1" w:styleId="ChapterTitleChar">
    <w:name w:val="Chapter Title Char"/>
    <w:basedOn w:val="SecondtitleChar"/>
    <w:link w:val="ChapterTitle"/>
    <w:uiPriority w:val="1"/>
    <w:rsid w:val="00105042"/>
    <w:rPr>
      <w:rFonts w:ascii="Open Sans SemiBold" w:eastAsia="Open Sans SemiBold" w:hAnsi="Open Sans SemiBold" w:cs="Open Sans SemiBold"/>
      <w:color w:val="575756"/>
      <w:sz w:val="24"/>
      <w:szCs w:val="24"/>
      <w:lang w:val="pl-PL" w:eastAsia="en-GB" w:bidi="en-GB"/>
    </w:rPr>
  </w:style>
  <w:style w:type="paragraph" w:customStyle="1" w:styleId="Bulletparagraphlevel3">
    <w:name w:val="Bullet paragraph level 3"/>
    <w:basedOn w:val="Bulletlevel2"/>
    <w:uiPriority w:val="1"/>
    <w:rsid w:val="00FE1C9B"/>
    <w:pPr>
      <w:tabs>
        <w:tab w:val="clear" w:pos="567"/>
        <w:tab w:val="left" w:pos="709"/>
      </w:tabs>
      <w:ind w:left="851"/>
    </w:pPr>
  </w:style>
  <w:style w:type="paragraph" w:styleId="TOCHeading">
    <w:name w:val="TOC Heading"/>
    <w:basedOn w:val="Heading1"/>
    <w:next w:val="Normal"/>
    <w:uiPriority w:val="39"/>
    <w:unhideWhenUsed/>
    <w:qFormat/>
    <w:rsid w:val="0024363C"/>
    <w:pPr>
      <w:keepNext/>
      <w:keepLines/>
      <w:widowControl/>
      <w:autoSpaceDE/>
      <w:autoSpaceDN/>
      <w:spacing w:before="240" w:line="259" w:lineRule="auto"/>
      <w:ind w:left="0"/>
      <w:outlineLvl w:val="9"/>
    </w:pPr>
    <w:rPr>
      <w:rFonts w:asciiTheme="majorHAnsi" w:eastAsiaTheme="majorEastAsia" w:hAnsiTheme="majorHAnsi" w:cstheme="majorBidi"/>
      <w:b/>
      <w:bCs w:val="0"/>
      <w:color w:val="504077" w:themeColor="accent1" w:themeShade="BF"/>
      <w:sz w:val="32"/>
      <w:szCs w:val="32"/>
      <w:lang w:val="en-US" w:eastAsia="ja-JP" w:bidi="ar-SA"/>
    </w:rPr>
  </w:style>
  <w:style w:type="paragraph" w:styleId="TOC1">
    <w:name w:val="toc 1"/>
    <w:basedOn w:val="Normal"/>
    <w:next w:val="Normal"/>
    <w:link w:val="TOC1Char"/>
    <w:autoRedefine/>
    <w:uiPriority w:val="39"/>
    <w:unhideWhenUsed/>
    <w:rsid w:val="009F67EB"/>
    <w:pPr>
      <w:tabs>
        <w:tab w:val="right" w:leader="dot" w:pos="9620"/>
      </w:tabs>
      <w:spacing w:after="100"/>
    </w:pPr>
    <w:rPr>
      <w:color w:val="575756" w:themeColor="background2"/>
      <w:sz w:val="20"/>
    </w:rPr>
  </w:style>
  <w:style w:type="character" w:styleId="Hyperlink">
    <w:name w:val="Hyperlink"/>
    <w:basedOn w:val="DefaultParagraphFont"/>
    <w:uiPriority w:val="99"/>
    <w:unhideWhenUsed/>
    <w:rsid w:val="0024363C"/>
    <w:rPr>
      <w:color w:val="3369A9" w:themeColor="hyperlink"/>
      <w:u w:val="single"/>
    </w:rPr>
  </w:style>
  <w:style w:type="paragraph" w:customStyle="1" w:styleId="indexlevel1">
    <w:name w:val="index level 1"/>
    <w:basedOn w:val="TOC1"/>
    <w:link w:val="indexlevel1Char"/>
    <w:uiPriority w:val="1"/>
    <w:qFormat/>
    <w:rsid w:val="008955EE"/>
    <w:rPr>
      <w:noProof/>
      <w:lang w:val="en-US"/>
    </w:rPr>
  </w:style>
  <w:style w:type="character" w:customStyle="1" w:styleId="TitleChar">
    <w:name w:val="Title Char"/>
    <w:basedOn w:val="DefaultParagraphFont"/>
    <w:link w:val="Title"/>
    <w:uiPriority w:val="10"/>
    <w:rsid w:val="003B7F37"/>
    <w:rPr>
      <w:rFonts w:asciiTheme="majorHAnsi" w:eastAsiaTheme="majorEastAsia" w:hAnsiTheme="majorHAnsi" w:cstheme="majorBidi"/>
      <w:color w:val="3369A9" w:themeColor="background1"/>
      <w:spacing w:val="-10"/>
      <w:kern w:val="28"/>
      <w:sz w:val="24"/>
      <w:szCs w:val="56"/>
      <w:lang w:val="en-GB" w:eastAsia="en-GB" w:bidi="en-GB"/>
    </w:rPr>
  </w:style>
  <w:style w:type="character" w:customStyle="1" w:styleId="TOC1Char">
    <w:name w:val="TOC 1 Char"/>
    <w:basedOn w:val="DefaultParagraphFont"/>
    <w:link w:val="TOC1"/>
    <w:uiPriority w:val="39"/>
    <w:rsid w:val="009F67EB"/>
    <w:rPr>
      <w:rFonts w:ascii="Open Sans" w:eastAsia="Open Sans" w:hAnsi="Open Sans" w:cs="Open Sans"/>
      <w:color w:val="575756" w:themeColor="background2"/>
      <w:sz w:val="20"/>
      <w:lang w:val="en-GB" w:eastAsia="en-GB" w:bidi="en-GB"/>
    </w:rPr>
  </w:style>
  <w:style w:type="character" w:customStyle="1" w:styleId="indexlevel1Char">
    <w:name w:val="index level 1 Char"/>
    <w:basedOn w:val="TOC1Char"/>
    <w:link w:val="indexlevel1"/>
    <w:uiPriority w:val="1"/>
    <w:rsid w:val="008955EE"/>
    <w:rPr>
      <w:rFonts w:ascii="Open Sans" w:eastAsia="Open Sans" w:hAnsi="Open Sans" w:cs="Open Sans"/>
      <w:noProof/>
      <w:color w:val="575756" w:themeColor="background2"/>
      <w:sz w:val="20"/>
      <w:lang w:val="en-GB" w:eastAsia="en-GB" w:bidi="en-GB"/>
    </w:rPr>
  </w:style>
  <w:style w:type="paragraph" w:styleId="TOC2">
    <w:name w:val="toc 2"/>
    <w:basedOn w:val="indexlevel1"/>
    <w:next w:val="Normal"/>
    <w:autoRedefine/>
    <w:uiPriority w:val="39"/>
    <w:unhideWhenUsed/>
    <w:rsid w:val="00954AF8"/>
    <w:pPr>
      <w:widowControl/>
      <w:autoSpaceDE/>
      <w:autoSpaceDN/>
      <w:spacing w:line="259" w:lineRule="auto"/>
      <w:ind w:left="220"/>
    </w:pPr>
    <w:rPr>
      <w:rFonts w:asciiTheme="minorHAnsi" w:eastAsiaTheme="minorEastAsia" w:hAnsiTheme="minorHAnsi" w:cs="Times New Roman"/>
      <w:lang w:eastAsia="en-US" w:bidi="ar-SA"/>
    </w:rPr>
  </w:style>
  <w:style w:type="character" w:customStyle="1" w:styleId="Heading1Char">
    <w:name w:val="Heading 1 Char"/>
    <w:basedOn w:val="DefaultParagraphFont"/>
    <w:link w:val="Heading1"/>
    <w:uiPriority w:val="1"/>
    <w:rsid w:val="002415B9"/>
    <w:rPr>
      <w:rFonts w:ascii="Open Sans SemiBold" w:eastAsia="Open Sans" w:hAnsi="Open Sans SemiBold" w:cs="Open Sans"/>
      <w:bCs/>
      <w:color w:val="3369A9" w:themeColor="background1"/>
      <w:sz w:val="24"/>
      <w:szCs w:val="26"/>
      <w:lang w:val="en-GB" w:eastAsia="en-GB" w:bidi="en-GB"/>
    </w:rPr>
  </w:style>
  <w:style w:type="paragraph" w:styleId="TOC3">
    <w:name w:val="toc 3"/>
    <w:basedOn w:val="Normal"/>
    <w:next w:val="Normal"/>
    <w:autoRedefine/>
    <w:uiPriority w:val="39"/>
    <w:unhideWhenUsed/>
    <w:rsid w:val="005B3339"/>
    <w:pPr>
      <w:widowControl/>
      <w:tabs>
        <w:tab w:val="right" w:leader="dot" w:pos="9029"/>
      </w:tabs>
      <w:autoSpaceDE/>
      <w:autoSpaceDN/>
      <w:spacing w:after="100" w:line="259" w:lineRule="auto"/>
      <w:ind w:left="440"/>
    </w:pPr>
    <w:rPr>
      <w:rFonts w:asciiTheme="minorHAnsi" w:eastAsiaTheme="minorEastAsia" w:hAnsiTheme="minorHAnsi" w:cs="Times New Roman"/>
      <w:noProof/>
      <w:color w:val="575756" w:themeColor="background2"/>
      <w:sz w:val="20"/>
      <w:szCs w:val="20"/>
      <w:lang w:val="en-US" w:eastAsia="en-US"/>
    </w:rPr>
  </w:style>
  <w:style w:type="character" w:customStyle="1" w:styleId="Heading2Char">
    <w:name w:val="Heading 2 Char"/>
    <w:basedOn w:val="DefaultParagraphFont"/>
    <w:link w:val="Heading2"/>
    <w:uiPriority w:val="9"/>
    <w:rsid w:val="003B7F37"/>
    <w:rPr>
      <w:rFonts w:asciiTheme="majorHAnsi" w:eastAsiaTheme="majorEastAsia" w:hAnsiTheme="majorHAnsi" w:cstheme="majorBidi"/>
      <w:bCs/>
      <w:color w:val="575756" w:themeColor="background2"/>
      <w:sz w:val="24"/>
      <w:szCs w:val="26"/>
      <w:lang w:eastAsia="en-GB" w:bidi="en-GB"/>
    </w:rPr>
  </w:style>
  <w:style w:type="character" w:customStyle="1" w:styleId="Heading3Char">
    <w:name w:val="Heading 3 Char"/>
    <w:basedOn w:val="DefaultParagraphFont"/>
    <w:link w:val="Heading3"/>
    <w:uiPriority w:val="9"/>
    <w:rsid w:val="00C105B0"/>
    <w:rPr>
      <w:rFonts w:asciiTheme="majorHAnsi" w:eastAsiaTheme="majorEastAsia" w:hAnsiTheme="majorHAnsi" w:cstheme="majorBidi"/>
      <w:color w:val="808080" w:themeColor="text1" w:themeShade="80"/>
      <w:szCs w:val="24"/>
      <w:lang w:val="en-GB" w:eastAsia="en-GB" w:bidi="en-GB"/>
    </w:rPr>
  </w:style>
  <w:style w:type="paragraph" w:customStyle="1" w:styleId="TabelofContent">
    <w:name w:val="Tabel of Content"/>
    <w:basedOn w:val="TOC1"/>
    <w:link w:val="TabelofContentChar"/>
    <w:uiPriority w:val="1"/>
    <w:qFormat/>
    <w:rsid w:val="008A315A"/>
    <w:rPr>
      <w:noProof/>
      <w:lang w:val="en-US"/>
    </w:rPr>
  </w:style>
  <w:style w:type="character" w:customStyle="1" w:styleId="TabelofContentChar">
    <w:name w:val="Tabel of Content Char"/>
    <w:basedOn w:val="TOC1Char"/>
    <w:link w:val="TabelofContent"/>
    <w:uiPriority w:val="1"/>
    <w:rsid w:val="008A315A"/>
    <w:rPr>
      <w:rFonts w:ascii="Open Sans" w:eastAsia="Open Sans" w:hAnsi="Open Sans" w:cs="Open Sans"/>
      <w:noProof/>
      <w:color w:val="575756" w:themeColor="background2"/>
      <w:sz w:val="20"/>
      <w:lang w:val="en-GB" w:eastAsia="en-GB" w:bidi="en-GB"/>
    </w:rPr>
  </w:style>
  <w:style w:type="paragraph" w:customStyle="1" w:styleId="MainTitel">
    <w:name w:val="Main Titel"/>
    <w:basedOn w:val="Heading1"/>
    <w:uiPriority w:val="1"/>
    <w:qFormat/>
    <w:rsid w:val="00D93E5B"/>
    <w:pPr>
      <w:spacing w:before="123" w:line="211" w:lineRule="auto"/>
      <w:ind w:right="558"/>
    </w:pPr>
    <w:rPr>
      <w:rFonts w:cs="Open Sans SemiBold"/>
      <w:color w:val="3369A9"/>
      <w:sz w:val="26"/>
      <w:lang w:val="pl-PL"/>
    </w:rPr>
  </w:style>
  <w:style w:type="character" w:styleId="CommentReference">
    <w:name w:val="annotation reference"/>
    <w:basedOn w:val="DefaultParagraphFont"/>
    <w:uiPriority w:val="99"/>
    <w:semiHidden/>
    <w:unhideWhenUsed/>
    <w:rsid w:val="009F1A47"/>
    <w:rPr>
      <w:sz w:val="16"/>
      <w:szCs w:val="16"/>
    </w:rPr>
  </w:style>
  <w:style w:type="paragraph" w:styleId="CommentText">
    <w:name w:val="annotation text"/>
    <w:basedOn w:val="Normal"/>
    <w:link w:val="CommentTextChar"/>
    <w:uiPriority w:val="99"/>
    <w:unhideWhenUsed/>
    <w:rsid w:val="009F1A47"/>
    <w:rPr>
      <w:sz w:val="20"/>
      <w:szCs w:val="20"/>
    </w:rPr>
  </w:style>
  <w:style w:type="character" w:customStyle="1" w:styleId="CommentTextChar">
    <w:name w:val="Comment Text Char"/>
    <w:basedOn w:val="DefaultParagraphFont"/>
    <w:link w:val="CommentText"/>
    <w:uiPriority w:val="99"/>
    <w:rsid w:val="009F1A47"/>
    <w:rPr>
      <w:rFonts w:ascii="Open Sans" w:eastAsia="Open Sans" w:hAnsi="Open Sans" w:cs="Open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F1A47"/>
    <w:rPr>
      <w:b/>
      <w:bCs/>
    </w:rPr>
  </w:style>
  <w:style w:type="character" w:customStyle="1" w:styleId="CommentSubjectChar">
    <w:name w:val="Comment Subject Char"/>
    <w:basedOn w:val="CommentTextChar"/>
    <w:link w:val="CommentSubject"/>
    <w:uiPriority w:val="99"/>
    <w:semiHidden/>
    <w:rsid w:val="009F1A47"/>
    <w:rPr>
      <w:rFonts w:ascii="Open Sans" w:eastAsia="Open Sans" w:hAnsi="Open Sans" w:cs="Open Sans"/>
      <w:b/>
      <w:bCs/>
      <w:sz w:val="20"/>
      <w:szCs w:val="20"/>
      <w:lang w:val="en-GB" w:eastAsia="en-GB" w:bidi="en-GB"/>
    </w:rPr>
  </w:style>
  <w:style w:type="paragraph" w:styleId="BalloonText">
    <w:name w:val="Balloon Text"/>
    <w:basedOn w:val="Normal"/>
    <w:link w:val="BalloonTextChar"/>
    <w:uiPriority w:val="99"/>
    <w:semiHidden/>
    <w:unhideWhenUsed/>
    <w:rsid w:val="009F1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A47"/>
    <w:rPr>
      <w:rFonts w:ascii="Segoe UI" w:eastAsia="Open Sans" w:hAnsi="Segoe UI" w:cs="Segoe UI"/>
      <w:sz w:val="18"/>
      <w:szCs w:val="18"/>
      <w:lang w:val="en-GB" w:eastAsia="en-GB" w:bidi="en-GB"/>
    </w:rPr>
  </w:style>
  <w:style w:type="table" w:customStyle="1" w:styleId="Tabelasiatki2akcent32">
    <w:name w:val="Tabela siatki 2 — akcent 32"/>
    <w:basedOn w:val="TableNormal"/>
    <w:next w:val="GridTable2-Accent3"/>
    <w:uiPriority w:val="47"/>
    <w:rsid w:val="00520C5B"/>
    <w:tblPr>
      <w:tblStyleRowBandSize w:val="1"/>
      <w:tblStyleColBandSize w:val="1"/>
      <w:tblBorders>
        <w:top w:val="single" w:sz="2" w:space="0" w:color="D3E8F9"/>
        <w:bottom w:val="single" w:sz="2" w:space="0" w:color="D3E8F9"/>
        <w:insideH w:val="single" w:sz="2" w:space="0" w:color="D3E8F9"/>
        <w:insideV w:val="single" w:sz="2" w:space="0" w:color="D3E8F9"/>
      </w:tblBorders>
    </w:tblPr>
    <w:tblStylePr w:type="firstRow">
      <w:rPr>
        <w:b/>
        <w:bCs/>
      </w:rPr>
      <w:tblPr/>
      <w:tcPr>
        <w:tcBorders>
          <w:top w:val="nil"/>
          <w:bottom w:val="single" w:sz="12" w:space="0" w:color="D3E8F9"/>
          <w:insideH w:val="nil"/>
          <w:insideV w:val="nil"/>
        </w:tcBorders>
        <w:shd w:val="clear" w:color="auto" w:fill="3369A9"/>
      </w:tcPr>
    </w:tblStylePr>
    <w:tblStylePr w:type="lastRow">
      <w:rPr>
        <w:b/>
        <w:bCs/>
      </w:rPr>
      <w:tblPr/>
      <w:tcPr>
        <w:tcBorders>
          <w:top w:val="double" w:sz="2" w:space="0" w:color="D3E8F9"/>
          <w:bottom w:val="nil"/>
          <w:insideH w:val="nil"/>
          <w:insideV w:val="nil"/>
        </w:tcBorders>
        <w:shd w:val="clear" w:color="auto" w:fill="3369A9"/>
      </w:tcPr>
    </w:tblStylePr>
    <w:tblStylePr w:type="firstCol">
      <w:rPr>
        <w:b/>
        <w:bCs/>
      </w:rPr>
    </w:tblStylePr>
    <w:tblStylePr w:type="lastCol">
      <w:rPr>
        <w:b/>
        <w:bCs/>
      </w:rPr>
    </w:tblStylePr>
    <w:tblStylePr w:type="band1Vert">
      <w:tblPr/>
      <w:tcPr>
        <w:shd w:val="clear" w:color="auto" w:fill="F0F7FD"/>
      </w:tcPr>
    </w:tblStylePr>
    <w:tblStylePr w:type="band1Horz">
      <w:tblPr/>
      <w:tcPr>
        <w:shd w:val="clear" w:color="auto" w:fill="F0F7FD"/>
      </w:tcPr>
    </w:tblStylePr>
  </w:style>
  <w:style w:type="table" w:styleId="GridTable2-Accent3">
    <w:name w:val="Grid Table 2 Accent 3"/>
    <w:basedOn w:val="TableNormal"/>
    <w:uiPriority w:val="47"/>
    <w:rsid w:val="00520C5B"/>
    <w:tblPr>
      <w:tblStyleRowBandSize w:val="1"/>
      <w:tblStyleColBandSize w:val="1"/>
      <w:tblBorders>
        <w:top w:val="single" w:sz="2" w:space="0" w:color="D3E8F9" w:themeColor="accent3" w:themeTint="99"/>
        <w:bottom w:val="single" w:sz="2" w:space="0" w:color="D3E8F9" w:themeColor="accent3" w:themeTint="99"/>
        <w:insideH w:val="single" w:sz="2" w:space="0" w:color="D3E8F9" w:themeColor="accent3" w:themeTint="99"/>
        <w:insideV w:val="single" w:sz="2" w:space="0" w:color="D3E8F9" w:themeColor="accent3" w:themeTint="99"/>
      </w:tblBorders>
    </w:tblPr>
    <w:tblStylePr w:type="firstRow">
      <w:rPr>
        <w:b/>
        <w:bCs/>
      </w:rPr>
      <w:tblPr/>
      <w:tcPr>
        <w:tcBorders>
          <w:top w:val="nil"/>
          <w:bottom w:val="single" w:sz="12" w:space="0" w:color="D3E8F9" w:themeColor="accent3" w:themeTint="99"/>
          <w:insideH w:val="nil"/>
          <w:insideV w:val="nil"/>
        </w:tcBorders>
        <w:shd w:val="clear" w:color="auto" w:fill="3369A9" w:themeFill="background1"/>
      </w:tcPr>
    </w:tblStylePr>
    <w:tblStylePr w:type="lastRow">
      <w:rPr>
        <w:b/>
        <w:bCs/>
      </w:rPr>
      <w:tblPr/>
      <w:tcPr>
        <w:tcBorders>
          <w:top w:val="double" w:sz="2" w:space="0" w:color="D3E8F9" w:themeColor="accent3" w:themeTint="99"/>
          <w:bottom w:val="nil"/>
          <w:insideH w:val="nil"/>
          <w:insideV w:val="nil"/>
        </w:tcBorders>
        <w:shd w:val="clear" w:color="auto" w:fill="3369A9" w:themeFill="background1"/>
      </w:tcPr>
    </w:tblStylePr>
    <w:tblStylePr w:type="firstCol">
      <w:rPr>
        <w:b/>
        <w:bCs/>
      </w:rPr>
    </w:tblStylePr>
    <w:tblStylePr w:type="lastCol">
      <w:rPr>
        <w:b/>
        <w:bCs/>
      </w:rPr>
    </w:tblStylePr>
    <w:tblStylePr w:type="band1Vert">
      <w:tblPr/>
      <w:tcPr>
        <w:shd w:val="clear" w:color="auto" w:fill="F0F7FD" w:themeFill="accent3" w:themeFillTint="33"/>
      </w:tcPr>
    </w:tblStylePr>
    <w:tblStylePr w:type="band1Horz">
      <w:tblPr/>
      <w:tcPr>
        <w:shd w:val="clear" w:color="auto" w:fill="F0F7FD" w:themeFill="accent3" w:themeFillTint="33"/>
      </w:tcPr>
    </w:tblStylePr>
  </w:style>
  <w:style w:type="character" w:styleId="UnresolvedMention">
    <w:name w:val="Unresolved Mention"/>
    <w:basedOn w:val="DefaultParagraphFont"/>
    <w:uiPriority w:val="99"/>
    <w:semiHidden/>
    <w:unhideWhenUsed/>
    <w:rsid w:val="004D3AE5"/>
    <w:rPr>
      <w:color w:val="605E5C"/>
      <w:shd w:val="clear" w:color="auto" w:fill="E1DFDD"/>
    </w:rPr>
  </w:style>
  <w:style w:type="character" w:styleId="FollowedHyperlink">
    <w:name w:val="FollowedHyperlink"/>
    <w:basedOn w:val="DefaultParagraphFont"/>
    <w:uiPriority w:val="99"/>
    <w:semiHidden/>
    <w:unhideWhenUsed/>
    <w:rsid w:val="004D3AE5"/>
    <w:rPr>
      <w:color w:val="6B56A0" w:themeColor="followedHyperlink"/>
      <w:u w:val="single"/>
    </w:rPr>
  </w:style>
  <w:style w:type="character" w:customStyle="1" w:styleId="Heading4Char">
    <w:name w:val="Heading 4 Char"/>
    <w:basedOn w:val="DefaultParagraphFont"/>
    <w:link w:val="Heading4"/>
    <w:uiPriority w:val="9"/>
    <w:rsid w:val="00316A94"/>
    <w:rPr>
      <w:rFonts w:asciiTheme="majorHAnsi" w:eastAsiaTheme="majorEastAsia" w:hAnsiTheme="majorHAnsi" w:cstheme="majorBidi"/>
      <w:i/>
      <w:iCs/>
      <w:color w:val="504077" w:themeColor="accent1" w:themeShade="BF"/>
      <w:lang w:val="en-GB" w:eastAsia="en-GB" w:bidi="en-GB"/>
    </w:rPr>
  </w:style>
  <w:style w:type="paragraph" w:styleId="FootnoteText">
    <w:name w:val="footnote text"/>
    <w:basedOn w:val="Normal"/>
    <w:link w:val="FootnoteTextChar"/>
    <w:uiPriority w:val="99"/>
    <w:semiHidden/>
    <w:unhideWhenUsed/>
    <w:rsid w:val="0033474D"/>
    <w:rPr>
      <w:sz w:val="20"/>
      <w:szCs w:val="20"/>
    </w:rPr>
  </w:style>
  <w:style w:type="character" w:customStyle="1" w:styleId="FootnoteTextChar">
    <w:name w:val="Footnote Text Char"/>
    <w:basedOn w:val="DefaultParagraphFont"/>
    <w:link w:val="FootnoteText"/>
    <w:uiPriority w:val="99"/>
    <w:semiHidden/>
    <w:rsid w:val="0033474D"/>
    <w:rPr>
      <w:rFonts w:ascii="Open Sans" w:eastAsia="Open Sans" w:hAnsi="Open Sans" w:cs="Open Sans"/>
      <w:sz w:val="20"/>
      <w:szCs w:val="20"/>
      <w:lang w:val="en-GB" w:eastAsia="en-GB" w:bidi="en-GB"/>
    </w:rPr>
  </w:style>
  <w:style w:type="character" w:styleId="FootnoteReference">
    <w:name w:val="footnote reference"/>
    <w:basedOn w:val="DefaultParagraphFont"/>
    <w:uiPriority w:val="99"/>
    <w:semiHidden/>
    <w:unhideWhenUsed/>
    <w:rsid w:val="0033474D"/>
    <w:rPr>
      <w:vertAlign w:val="superscript"/>
    </w:rPr>
  </w:style>
  <w:style w:type="paragraph" w:styleId="Revision">
    <w:name w:val="Revision"/>
    <w:hidden/>
    <w:uiPriority w:val="99"/>
    <w:semiHidden/>
    <w:rsid w:val="00DE7408"/>
    <w:pPr>
      <w:widowControl/>
      <w:autoSpaceDE/>
      <w:autoSpaceDN/>
    </w:pPr>
    <w:rPr>
      <w:rFonts w:ascii="Open Sans" w:eastAsia="Open Sans" w:hAnsi="Open Sans" w:cs="Open Sans"/>
      <w:lang w:val="en-GB" w:eastAsia="en-GB" w:bidi="en-GB"/>
    </w:rPr>
  </w:style>
  <w:style w:type="table" w:customStyle="1" w:styleId="Style1">
    <w:name w:val="Style1"/>
    <w:basedOn w:val="TableNormal"/>
    <w:uiPriority w:val="99"/>
    <w:rsid w:val="00DC1E35"/>
    <w:pPr>
      <w:widowControl/>
      <w:autoSpaceDE/>
      <w:autoSpaceDN/>
    </w:pPr>
    <w:tblPr/>
  </w:style>
  <w:style w:type="paragraph" w:customStyle="1" w:styleId="Default">
    <w:name w:val="Default"/>
    <w:rsid w:val="00DC1E35"/>
    <w:pPr>
      <w:widowControl/>
      <w:adjustRightInd w:val="0"/>
    </w:pPr>
    <w:rPr>
      <w:rFonts w:ascii="Segoe UI" w:hAnsi="Segoe UI" w:cs="Segoe UI"/>
      <w:color w:val="000000"/>
      <w:sz w:val="24"/>
      <w:szCs w:val="24"/>
    </w:rPr>
  </w:style>
  <w:style w:type="table" w:styleId="TableGrid">
    <w:name w:val="Table Grid"/>
    <w:basedOn w:val="TableNormal"/>
    <w:uiPriority w:val="39"/>
    <w:rsid w:val="00DC1E35"/>
    <w:pPr>
      <w:widowControl/>
      <w:autoSpaceDE/>
      <w:autoSpaceDN/>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20">
    <w:name w:val="contentpasted20"/>
    <w:basedOn w:val="DefaultParagraphFont"/>
    <w:rsid w:val="009D3589"/>
  </w:style>
  <w:style w:type="paragraph" w:customStyle="1" w:styleId="contentpasted0">
    <w:name w:val="contentpasted0"/>
    <w:basedOn w:val="Normal"/>
    <w:rsid w:val="0077798A"/>
    <w:pPr>
      <w:widowControl/>
      <w:autoSpaceDE/>
      <w:autoSpaceDN/>
      <w:spacing w:before="100" w:beforeAutospacing="1" w:after="100" w:afterAutospacing="1"/>
    </w:pPr>
    <w:rPr>
      <w:rFonts w:ascii="Calibri" w:eastAsiaTheme="minorHAnsi" w:hAnsi="Calibri" w:cs="Calibri"/>
      <w:lang w:bidi="ar-SA"/>
    </w:rPr>
  </w:style>
  <w:style w:type="paragraph" w:customStyle="1" w:styleId="contentpasted7">
    <w:name w:val="contentpasted7"/>
    <w:basedOn w:val="Normal"/>
    <w:rsid w:val="0076506D"/>
    <w:pPr>
      <w:widowControl/>
      <w:autoSpaceDE/>
      <w:autoSpaceDN/>
      <w:spacing w:before="100" w:beforeAutospacing="1" w:after="100" w:afterAutospacing="1"/>
    </w:pPr>
    <w:rPr>
      <w:rFonts w:ascii="Calibri" w:eastAsiaTheme="minorHAnsi" w:hAnsi="Calibri" w:cs="Calibri"/>
      <w:lang w:bidi="ar-SA"/>
    </w:rPr>
  </w:style>
  <w:style w:type="paragraph" w:customStyle="1" w:styleId="contentpasted12">
    <w:name w:val="contentpasted12"/>
    <w:basedOn w:val="Normal"/>
    <w:rsid w:val="0076506D"/>
    <w:pPr>
      <w:widowControl/>
      <w:autoSpaceDE/>
      <w:autoSpaceDN/>
      <w:spacing w:before="100" w:beforeAutospacing="1" w:after="100" w:afterAutospacing="1"/>
    </w:pPr>
    <w:rPr>
      <w:rFonts w:ascii="Calibri" w:eastAsiaTheme="minorHAnsi" w:hAnsi="Calibri" w:cs="Calibri"/>
      <w:lang w:bidi="ar-SA"/>
    </w:rPr>
  </w:style>
  <w:style w:type="paragraph" w:customStyle="1" w:styleId="contentpasted18">
    <w:name w:val="contentpasted18"/>
    <w:basedOn w:val="Normal"/>
    <w:rsid w:val="0076506D"/>
    <w:pPr>
      <w:widowControl/>
      <w:autoSpaceDE/>
      <w:autoSpaceDN/>
      <w:spacing w:before="100" w:beforeAutospacing="1" w:after="100" w:afterAutospacing="1"/>
    </w:pPr>
    <w:rPr>
      <w:rFonts w:ascii="Calibri" w:eastAsiaTheme="minorHAnsi" w:hAnsi="Calibri" w:cs="Calibri"/>
      <w:lang w:bidi="ar-SA"/>
    </w:rPr>
  </w:style>
  <w:style w:type="paragraph" w:customStyle="1" w:styleId="contentpasted19">
    <w:name w:val="contentpasted19"/>
    <w:basedOn w:val="Normal"/>
    <w:rsid w:val="0076506D"/>
    <w:pPr>
      <w:widowControl/>
      <w:autoSpaceDE/>
      <w:autoSpaceDN/>
      <w:spacing w:before="100" w:beforeAutospacing="1" w:after="100" w:afterAutospacing="1"/>
    </w:pPr>
    <w:rPr>
      <w:rFonts w:ascii="Calibri" w:eastAsiaTheme="minorHAnsi" w:hAnsi="Calibri" w:cs="Calibri"/>
      <w:lang w:bidi="ar-SA"/>
    </w:rPr>
  </w:style>
  <w:style w:type="paragraph" w:customStyle="1" w:styleId="xxmsonormal">
    <w:name w:val="x_xmsonormal"/>
    <w:basedOn w:val="Normal"/>
    <w:rsid w:val="00DD2CE4"/>
    <w:pPr>
      <w:widowControl/>
      <w:autoSpaceDE/>
      <w:autoSpaceDN/>
    </w:pPr>
    <w:rPr>
      <w:rFonts w:ascii="Calibri" w:eastAsiaTheme="minorHAnsi" w:hAnsi="Calibri" w:cs="Calibri"/>
      <w:lang w:bidi="ar-SA"/>
    </w:rPr>
  </w:style>
  <w:style w:type="character" w:styleId="Mention">
    <w:name w:val="Mention"/>
    <w:basedOn w:val="DefaultParagraphFont"/>
    <w:uiPriority w:val="99"/>
    <w:unhideWhenUsed/>
    <w:rsid w:val="00E9578A"/>
    <w:rPr>
      <w:color w:val="2B579A"/>
      <w:shd w:val="clear" w:color="auto" w:fill="E1DFDD"/>
    </w:rPr>
  </w:style>
  <w:style w:type="paragraph" w:styleId="NormalWeb">
    <w:name w:val="Normal (Web)"/>
    <w:basedOn w:val="Normal"/>
    <w:uiPriority w:val="99"/>
    <w:semiHidden/>
    <w:unhideWhenUsed/>
    <w:rsid w:val="0048336D"/>
    <w:pPr>
      <w:widowControl/>
      <w:autoSpaceDE/>
      <w:autoSpaceDN/>
      <w:spacing w:before="100" w:beforeAutospacing="1" w:after="100" w:afterAutospacing="1"/>
    </w:pPr>
    <w:rPr>
      <w:rFonts w:ascii="Times New Roman" w:eastAsia="Times New Roman" w:hAnsi="Times New Roman" w:cs="Times New Roman"/>
      <w:sz w:val="24"/>
      <w:szCs w:val="24"/>
      <w:lang w:val="pl-PL" w:eastAsia="pl-PL" w:bidi="ar-SA"/>
    </w:rPr>
  </w:style>
  <w:style w:type="paragraph" w:styleId="Caption">
    <w:name w:val="caption"/>
    <w:basedOn w:val="Normal"/>
    <w:next w:val="Normal"/>
    <w:uiPriority w:val="35"/>
    <w:unhideWhenUsed/>
    <w:qFormat/>
    <w:rsid w:val="002863E6"/>
    <w:pPr>
      <w:spacing w:after="200"/>
    </w:pPr>
    <w:rPr>
      <w:i/>
      <w:iCs/>
      <w:color w:val="CCC9C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3988">
      <w:bodyDiv w:val="1"/>
      <w:marLeft w:val="0"/>
      <w:marRight w:val="0"/>
      <w:marTop w:val="0"/>
      <w:marBottom w:val="0"/>
      <w:divBdr>
        <w:top w:val="none" w:sz="0" w:space="0" w:color="auto"/>
        <w:left w:val="none" w:sz="0" w:space="0" w:color="auto"/>
        <w:bottom w:val="none" w:sz="0" w:space="0" w:color="auto"/>
        <w:right w:val="none" w:sz="0" w:space="0" w:color="auto"/>
      </w:divBdr>
    </w:div>
    <w:div w:id="33628416">
      <w:bodyDiv w:val="1"/>
      <w:marLeft w:val="0"/>
      <w:marRight w:val="0"/>
      <w:marTop w:val="0"/>
      <w:marBottom w:val="0"/>
      <w:divBdr>
        <w:top w:val="none" w:sz="0" w:space="0" w:color="auto"/>
        <w:left w:val="none" w:sz="0" w:space="0" w:color="auto"/>
        <w:bottom w:val="none" w:sz="0" w:space="0" w:color="auto"/>
        <w:right w:val="none" w:sz="0" w:space="0" w:color="auto"/>
      </w:divBdr>
    </w:div>
    <w:div w:id="40326527">
      <w:bodyDiv w:val="1"/>
      <w:marLeft w:val="0"/>
      <w:marRight w:val="0"/>
      <w:marTop w:val="0"/>
      <w:marBottom w:val="0"/>
      <w:divBdr>
        <w:top w:val="none" w:sz="0" w:space="0" w:color="auto"/>
        <w:left w:val="none" w:sz="0" w:space="0" w:color="auto"/>
        <w:bottom w:val="none" w:sz="0" w:space="0" w:color="auto"/>
        <w:right w:val="none" w:sz="0" w:space="0" w:color="auto"/>
      </w:divBdr>
    </w:div>
    <w:div w:id="192546766">
      <w:bodyDiv w:val="1"/>
      <w:marLeft w:val="0"/>
      <w:marRight w:val="0"/>
      <w:marTop w:val="0"/>
      <w:marBottom w:val="0"/>
      <w:divBdr>
        <w:top w:val="none" w:sz="0" w:space="0" w:color="auto"/>
        <w:left w:val="none" w:sz="0" w:space="0" w:color="auto"/>
        <w:bottom w:val="none" w:sz="0" w:space="0" w:color="auto"/>
        <w:right w:val="none" w:sz="0" w:space="0" w:color="auto"/>
      </w:divBdr>
    </w:div>
    <w:div w:id="207256957">
      <w:bodyDiv w:val="1"/>
      <w:marLeft w:val="0"/>
      <w:marRight w:val="0"/>
      <w:marTop w:val="0"/>
      <w:marBottom w:val="0"/>
      <w:divBdr>
        <w:top w:val="none" w:sz="0" w:space="0" w:color="auto"/>
        <w:left w:val="none" w:sz="0" w:space="0" w:color="auto"/>
        <w:bottom w:val="none" w:sz="0" w:space="0" w:color="auto"/>
        <w:right w:val="none" w:sz="0" w:space="0" w:color="auto"/>
      </w:divBdr>
    </w:div>
    <w:div w:id="261888441">
      <w:bodyDiv w:val="1"/>
      <w:marLeft w:val="0"/>
      <w:marRight w:val="0"/>
      <w:marTop w:val="0"/>
      <w:marBottom w:val="0"/>
      <w:divBdr>
        <w:top w:val="none" w:sz="0" w:space="0" w:color="auto"/>
        <w:left w:val="none" w:sz="0" w:space="0" w:color="auto"/>
        <w:bottom w:val="none" w:sz="0" w:space="0" w:color="auto"/>
        <w:right w:val="none" w:sz="0" w:space="0" w:color="auto"/>
      </w:divBdr>
    </w:div>
    <w:div w:id="263080367">
      <w:bodyDiv w:val="1"/>
      <w:marLeft w:val="0"/>
      <w:marRight w:val="0"/>
      <w:marTop w:val="0"/>
      <w:marBottom w:val="0"/>
      <w:divBdr>
        <w:top w:val="none" w:sz="0" w:space="0" w:color="auto"/>
        <w:left w:val="none" w:sz="0" w:space="0" w:color="auto"/>
        <w:bottom w:val="none" w:sz="0" w:space="0" w:color="auto"/>
        <w:right w:val="none" w:sz="0" w:space="0" w:color="auto"/>
      </w:divBdr>
    </w:div>
    <w:div w:id="275217297">
      <w:bodyDiv w:val="1"/>
      <w:marLeft w:val="0"/>
      <w:marRight w:val="0"/>
      <w:marTop w:val="0"/>
      <w:marBottom w:val="0"/>
      <w:divBdr>
        <w:top w:val="none" w:sz="0" w:space="0" w:color="auto"/>
        <w:left w:val="none" w:sz="0" w:space="0" w:color="auto"/>
        <w:bottom w:val="none" w:sz="0" w:space="0" w:color="auto"/>
        <w:right w:val="none" w:sz="0" w:space="0" w:color="auto"/>
      </w:divBdr>
    </w:div>
    <w:div w:id="279992229">
      <w:bodyDiv w:val="1"/>
      <w:marLeft w:val="0"/>
      <w:marRight w:val="0"/>
      <w:marTop w:val="0"/>
      <w:marBottom w:val="0"/>
      <w:divBdr>
        <w:top w:val="none" w:sz="0" w:space="0" w:color="auto"/>
        <w:left w:val="none" w:sz="0" w:space="0" w:color="auto"/>
        <w:bottom w:val="none" w:sz="0" w:space="0" w:color="auto"/>
        <w:right w:val="none" w:sz="0" w:space="0" w:color="auto"/>
      </w:divBdr>
    </w:div>
    <w:div w:id="351104765">
      <w:bodyDiv w:val="1"/>
      <w:marLeft w:val="0"/>
      <w:marRight w:val="0"/>
      <w:marTop w:val="0"/>
      <w:marBottom w:val="0"/>
      <w:divBdr>
        <w:top w:val="none" w:sz="0" w:space="0" w:color="auto"/>
        <w:left w:val="none" w:sz="0" w:space="0" w:color="auto"/>
        <w:bottom w:val="none" w:sz="0" w:space="0" w:color="auto"/>
        <w:right w:val="none" w:sz="0" w:space="0" w:color="auto"/>
      </w:divBdr>
    </w:div>
    <w:div w:id="370425710">
      <w:bodyDiv w:val="1"/>
      <w:marLeft w:val="0"/>
      <w:marRight w:val="0"/>
      <w:marTop w:val="0"/>
      <w:marBottom w:val="0"/>
      <w:divBdr>
        <w:top w:val="none" w:sz="0" w:space="0" w:color="auto"/>
        <w:left w:val="none" w:sz="0" w:space="0" w:color="auto"/>
        <w:bottom w:val="none" w:sz="0" w:space="0" w:color="auto"/>
        <w:right w:val="none" w:sz="0" w:space="0" w:color="auto"/>
      </w:divBdr>
    </w:div>
    <w:div w:id="385569775">
      <w:bodyDiv w:val="1"/>
      <w:marLeft w:val="0"/>
      <w:marRight w:val="0"/>
      <w:marTop w:val="0"/>
      <w:marBottom w:val="0"/>
      <w:divBdr>
        <w:top w:val="none" w:sz="0" w:space="0" w:color="auto"/>
        <w:left w:val="none" w:sz="0" w:space="0" w:color="auto"/>
        <w:bottom w:val="none" w:sz="0" w:space="0" w:color="auto"/>
        <w:right w:val="none" w:sz="0" w:space="0" w:color="auto"/>
      </w:divBdr>
    </w:div>
    <w:div w:id="459693260">
      <w:bodyDiv w:val="1"/>
      <w:marLeft w:val="0"/>
      <w:marRight w:val="0"/>
      <w:marTop w:val="0"/>
      <w:marBottom w:val="0"/>
      <w:divBdr>
        <w:top w:val="none" w:sz="0" w:space="0" w:color="auto"/>
        <w:left w:val="none" w:sz="0" w:space="0" w:color="auto"/>
        <w:bottom w:val="none" w:sz="0" w:space="0" w:color="auto"/>
        <w:right w:val="none" w:sz="0" w:space="0" w:color="auto"/>
      </w:divBdr>
    </w:div>
    <w:div w:id="496389100">
      <w:bodyDiv w:val="1"/>
      <w:marLeft w:val="0"/>
      <w:marRight w:val="0"/>
      <w:marTop w:val="0"/>
      <w:marBottom w:val="0"/>
      <w:divBdr>
        <w:top w:val="none" w:sz="0" w:space="0" w:color="auto"/>
        <w:left w:val="none" w:sz="0" w:space="0" w:color="auto"/>
        <w:bottom w:val="none" w:sz="0" w:space="0" w:color="auto"/>
        <w:right w:val="none" w:sz="0" w:space="0" w:color="auto"/>
      </w:divBdr>
    </w:div>
    <w:div w:id="496925415">
      <w:bodyDiv w:val="1"/>
      <w:marLeft w:val="0"/>
      <w:marRight w:val="0"/>
      <w:marTop w:val="0"/>
      <w:marBottom w:val="0"/>
      <w:divBdr>
        <w:top w:val="none" w:sz="0" w:space="0" w:color="auto"/>
        <w:left w:val="none" w:sz="0" w:space="0" w:color="auto"/>
        <w:bottom w:val="none" w:sz="0" w:space="0" w:color="auto"/>
        <w:right w:val="none" w:sz="0" w:space="0" w:color="auto"/>
      </w:divBdr>
    </w:div>
    <w:div w:id="510990322">
      <w:bodyDiv w:val="1"/>
      <w:marLeft w:val="0"/>
      <w:marRight w:val="0"/>
      <w:marTop w:val="0"/>
      <w:marBottom w:val="0"/>
      <w:divBdr>
        <w:top w:val="none" w:sz="0" w:space="0" w:color="auto"/>
        <w:left w:val="none" w:sz="0" w:space="0" w:color="auto"/>
        <w:bottom w:val="none" w:sz="0" w:space="0" w:color="auto"/>
        <w:right w:val="none" w:sz="0" w:space="0" w:color="auto"/>
      </w:divBdr>
    </w:div>
    <w:div w:id="512261427">
      <w:bodyDiv w:val="1"/>
      <w:marLeft w:val="0"/>
      <w:marRight w:val="0"/>
      <w:marTop w:val="0"/>
      <w:marBottom w:val="0"/>
      <w:divBdr>
        <w:top w:val="none" w:sz="0" w:space="0" w:color="auto"/>
        <w:left w:val="none" w:sz="0" w:space="0" w:color="auto"/>
        <w:bottom w:val="none" w:sz="0" w:space="0" w:color="auto"/>
        <w:right w:val="none" w:sz="0" w:space="0" w:color="auto"/>
      </w:divBdr>
    </w:div>
    <w:div w:id="540358218">
      <w:bodyDiv w:val="1"/>
      <w:marLeft w:val="0"/>
      <w:marRight w:val="0"/>
      <w:marTop w:val="0"/>
      <w:marBottom w:val="0"/>
      <w:divBdr>
        <w:top w:val="none" w:sz="0" w:space="0" w:color="auto"/>
        <w:left w:val="none" w:sz="0" w:space="0" w:color="auto"/>
        <w:bottom w:val="none" w:sz="0" w:space="0" w:color="auto"/>
        <w:right w:val="none" w:sz="0" w:space="0" w:color="auto"/>
      </w:divBdr>
    </w:div>
    <w:div w:id="544802446">
      <w:bodyDiv w:val="1"/>
      <w:marLeft w:val="0"/>
      <w:marRight w:val="0"/>
      <w:marTop w:val="0"/>
      <w:marBottom w:val="0"/>
      <w:divBdr>
        <w:top w:val="none" w:sz="0" w:space="0" w:color="auto"/>
        <w:left w:val="none" w:sz="0" w:space="0" w:color="auto"/>
        <w:bottom w:val="none" w:sz="0" w:space="0" w:color="auto"/>
        <w:right w:val="none" w:sz="0" w:space="0" w:color="auto"/>
      </w:divBdr>
    </w:div>
    <w:div w:id="566960849">
      <w:bodyDiv w:val="1"/>
      <w:marLeft w:val="0"/>
      <w:marRight w:val="0"/>
      <w:marTop w:val="0"/>
      <w:marBottom w:val="0"/>
      <w:divBdr>
        <w:top w:val="none" w:sz="0" w:space="0" w:color="auto"/>
        <w:left w:val="none" w:sz="0" w:space="0" w:color="auto"/>
        <w:bottom w:val="none" w:sz="0" w:space="0" w:color="auto"/>
        <w:right w:val="none" w:sz="0" w:space="0" w:color="auto"/>
      </w:divBdr>
    </w:div>
    <w:div w:id="594434490">
      <w:bodyDiv w:val="1"/>
      <w:marLeft w:val="0"/>
      <w:marRight w:val="0"/>
      <w:marTop w:val="0"/>
      <w:marBottom w:val="0"/>
      <w:divBdr>
        <w:top w:val="none" w:sz="0" w:space="0" w:color="auto"/>
        <w:left w:val="none" w:sz="0" w:space="0" w:color="auto"/>
        <w:bottom w:val="none" w:sz="0" w:space="0" w:color="auto"/>
        <w:right w:val="none" w:sz="0" w:space="0" w:color="auto"/>
      </w:divBdr>
      <w:divsChild>
        <w:div w:id="359824377">
          <w:marLeft w:val="446"/>
          <w:marRight w:val="0"/>
          <w:marTop w:val="0"/>
          <w:marBottom w:val="0"/>
          <w:divBdr>
            <w:top w:val="none" w:sz="0" w:space="0" w:color="auto"/>
            <w:left w:val="none" w:sz="0" w:space="0" w:color="auto"/>
            <w:bottom w:val="none" w:sz="0" w:space="0" w:color="auto"/>
            <w:right w:val="none" w:sz="0" w:space="0" w:color="auto"/>
          </w:divBdr>
        </w:div>
      </w:divsChild>
    </w:div>
    <w:div w:id="656687954">
      <w:bodyDiv w:val="1"/>
      <w:marLeft w:val="0"/>
      <w:marRight w:val="0"/>
      <w:marTop w:val="0"/>
      <w:marBottom w:val="0"/>
      <w:divBdr>
        <w:top w:val="none" w:sz="0" w:space="0" w:color="auto"/>
        <w:left w:val="none" w:sz="0" w:space="0" w:color="auto"/>
        <w:bottom w:val="none" w:sz="0" w:space="0" w:color="auto"/>
        <w:right w:val="none" w:sz="0" w:space="0" w:color="auto"/>
      </w:divBdr>
    </w:div>
    <w:div w:id="742681020">
      <w:bodyDiv w:val="1"/>
      <w:marLeft w:val="0"/>
      <w:marRight w:val="0"/>
      <w:marTop w:val="0"/>
      <w:marBottom w:val="0"/>
      <w:divBdr>
        <w:top w:val="none" w:sz="0" w:space="0" w:color="auto"/>
        <w:left w:val="none" w:sz="0" w:space="0" w:color="auto"/>
        <w:bottom w:val="none" w:sz="0" w:space="0" w:color="auto"/>
        <w:right w:val="none" w:sz="0" w:space="0" w:color="auto"/>
      </w:divBdr>
    </w:div>
    <w:div w:id="777912907">
      <w:bodyDiv w:val="1"/>
      <w:marLeft w:val="0"/>
      <w:marRight w:val="0"/>
      <w:marTop w:val="0"/>
      <w:marBottom w:val="0"/>
      <w:divBdr>
        <w:top w:val="none" w:sz="0" w:space="0" w:color="auto"/>
        <w:left w:val="none" w:sz="0" w:space="0" w:color="auto"/>
        <w:bottom w:val="none" w:sz="0" w:space="0" w:color="auto"/>
        <w:right w:val="none" w:sz="0" w:space="0" w:color="auto"/>
      </w:divBdr>
    </w:div>
    <w:div w:id="872620681">
      <w:bodyDiv w:val="1"/>
      <w:marLeft w:val="0"/>
      <w:marRight w:val="0"/>
      <w:marTop w:val="0"/>
      <w:marBottom w:val="0"/>
      <w:divBdr>
        <w:top w:val="none" w:sz="0" w:space="0" w:color="auto"/>
        <w:left w:val="none" w:sz="0" w:space="0" w:color="auto"/>
        <w:bottom w:val="none" w:sz="0" w:space="0" w:color="auto"/>
        <w:right w:val="none" w:sz="0" w:space="0" w:color="auto"/>
      </w:divBdr>
    </w:div>
    <w:div w:id="881138923">
      <w:bodyDiv w:val="1"/>
      <w:marLeft w:val="0"/>
      <w:marRight w:val="0"/>
      <w:marTop w:val="0"/>
      <w:marBottom w:val="0"/>
      <w:divBdr>
        <w:top w:val="none" w:sz="0" w:space="0" w:color="auto"/>
        <w:left w:val="none" w:sz="0" w:space="0" w:color="auto"/>
        <w:bottom w:val="none" w:sz="0" w:space="0" w:color="auto"/>
        <w:right w:val="none" w:sz="0" w:space="0" w:color="auto"/>
      </w:divBdr>
    </w:div>
    <w:div w:id="915165151">
      <w:bodyDiv w:val="1"/>
      <w:marLeft w:val="0"/>
      <w:marRight w:val="0"/>
      <w:marTop w:val="0"/>
      <w:marBottom w:val="0"/>
      <w:divBdr>
        <w:top w:val="none" w:sz="0" w:space="0" w:color="auto"/>
        <w:left w:val="none" w:sz="0" w:space="0" w:color="auto"/>
        <w:bottom w:val="none" w:sz="0" w:space="0" w:color="auto"/>
        <w:right w:val="none" w:sz="0" w:space="0" w:color="auto"/>
      </w:divBdr>
    </w:div>
    <w:div w:id="927081301">
      <w:bodyDiv w:val="1"/>
      <w:marLeft w:val="0"/>
      <w:marRight w:val="0"/>
      <w:marTop w:val="0"/>
      <w:marBottom w:val="0"/>
      <w:divBdr>
        <w:top w:val="none" w:sz="0" w:space="0" w:color="auto"/>
        <w:left w:val="none" w:sz="0" w:space="0" w:color="auto"/>
        <w:bottom w:val="none" w:sz="0" w:space="0" w:color="auto"/>
        <w:right w:val="none" w:sz="0" w:space="0" w:color="auto"/>
      </w:divBdr>
    </w:div>
    <w:div w:id="997002487">
      <w:bodyDiv w:val="1"/>
      <w:marLeft w:val="0"/>
      <w:marRight w:val="0"/>
      <w:marTop w:val="0"/>
      <w:marBottom w:val="0"/>
      <w:divBdr>
        <w:top w:val="none" w:sz="0" w:space="0" w:color="auto"/>
        <w:left w:val="none" w:sz="0" w:space="0" w:color="auto"/>
        <w:bottom w:val="none" w:sz="0" w:space="0" w:color="auto"/>
        <w:right w:val="none" w:sz="0" w:space="0" w:color="auto"/>
      </w:divBdr>
    </w:div>
    <w:div w:id="1125926720">
      <w:bodyDiv w:val="1"/>
      <w:marLeft w:val="0"/>
      <w:marRight w:val="0"/>
      <w:marTop w:val="0"/>
      <w:marBottom w:val="0"/>
      <w:divBdr>
        <w:top w:val="none" w:sz="0" w:space="0" w:color="auto"/>
        <w:left w:val="none" w:sz="0" w:space="0" w:color="auto"/>
        <w:bottom w:val="none" w:sz="0" w:space="0" w:color="auto"/>
        <w:right w:val="none" w:sz="0" w:space="0" w:color="auto"/>
      </w:divBdr>
    </w:div>
    <w:div w:id="1126240013">
      <w:bodyDiv w:val="1"/>
      <w:marLeft w:val="0"/>
      <w:marRight w:val="0"/>
      <w:marTop w:val="0"/>
      <w:marBottom w:val="0"/>
      <w:divBdr>
        <w:top w:val="none" w:sz="0" w:space="0" w:color="auto"/>
        <w:left w:val="none" w:sz="0" w:space="0" w:color="auto"/>
        <w:bottom w:val="none" w:sz="0" w:space="0" w:color="auto"/>
        <w:right w:val="none" w:sz="0" w:space="0" w:color="auto"/>
      </w:divBdr>
    </w:div>
    <w:div w:id="1130130428">
      <w:bodyDiv w:val="1"/>
      <w:marLeft w:val="0"/>
      <w:marRight w:val="0"/>
      <w:marTop w:val="0"/>
      <w:marBottom w:val="0"/>
      <w:divBdr>
        <w:top w:val="none" w:sz="0" w:space="0" w:color="auto"/>
        <w:left w:val="none" w:sz="0" w:space="0" w:color="auto"/>
        <w:bottom w:val="none" w:sz="0" w:space="0" w:color="auto"/>
        <w:right w:val="none" w:sz="0" w:space="0" w:color="auto"/>
      </w:divBdr>
    </w:div>
    <w:div w:id="1134326929">
      <w:bodyDiv w:val="1"/>
      <w:marLeft w:val="0"/>
      <w:marRight w:val="0"/>
      <w:marTop w:val="0"/>
      <w:marBottom w:val="0"/>
      <w:divBdr>
        <w:top w:val="none" w:sz="0" w:space="0" w:color="auto"/>
        <w:left w:val="none" w:sz="0" w:space="0" w:color="auto"/>
        <w:bottom w:val="none" w:sz="0" w:space="0" w:color="auto"/>
        <w:right w:val="none" w:sz="0" w:space="0" w:color="auto"/>
      </w:divBdr>
    </w:div>
    <w:div w:id="1170683144">
      <w:bodyDiv w:val="1"/>
      <w:marLeft w:val="0"/>
      <w:marRight w:val="0"/>
      <w:marTop w:val="0"/>
      <w:marBottom w:val="0"/>
      <w:divBdr>
        <w:top w:val="none" w:sz="0" w:space="0" w:color="auto"/>
        <w:left w:val="none" w:sz="0" w:space="0" w:color="auto"/>
        <w:bottom w:val="none" w:sz="0" w:space="0" w:color="auto"/>
        <w:right w:val="none" w:sz="0" w:space="0" w:color="auto"/>
      </w:divBdr>
    </w:div>
    <w:div w:id="1185948516">
      <w:bodyDiv w:val="1"/>
      <w:marLeft w:val="0"/>
      <w:marRight w:val="0"/>
      <w:marTop w:val="0"/>
      <w:marBottom w:val="0"/>
      <w:divBdr>
        <w:top w:val="none" w:sz="0" w:space="0" w:color="auto"/>
        <w:left w:val="none" w:sz="0" w:space="0" w:color="auto"/>
        <w:bottom w:val="none" w:sz="0" w:space="0" w:color="auto"/>
        <w:right w:val="none" w:sz="0" w:space="0" w:color="auto"/>
      </w:divBdr>
    </w:div>
    <w:div w:id="1199195550">
      <w:bodyDiv w:val="1"/>
      <w:marLeft w:val="0"/>
      <w:marRight w:val="0"/>
      <w:marTop w:val="0"/>
      <w:marBottom w:val="0"/>
      <w:divBdr>
        <w:top w:val="none" w:sz="0" w:space="0" w:color="auto"/>
        <w:left w:val="none" w:sz="0" w:space="0" w:color="auto"/>
        <w:bottom w:val="none" w:sz="0" w:space="0" w:color="auto"/>
        <w:right w:val="none" w:sz="0" w:space="0" w:color="auto"/>
      </w:divBdr>
    </w:div>
    <w:div w:id="1272781007">
      <w:bodyDiv w:val="1"/>
      <w:marLeft w:val="0"/>
      <w:marRight w:val="0"/>
      <w:marTop w:val="0"/>
      <w:marBottom w:val="0"/>
      <w:divBdr>
        <w:top w:val="none" w:sz="0" w:space="0" w:color="auto"/>
        <w:left w:val="none" w:sz="0" w:space="0" w:color="auto"/>
        <w:bottom w:val="none" w:sz="0" w:space="0" w:color="auto"/>
        <w:right w:val="none" w:sz="0" w:space="0" w:color="auto"/>
      </w:divBdr>
    </w:div>
    <w:div w:id="1278607516">
      <w:bodyDiv w:val="1"/>
      <w:marLeft w:val="0"/>
      <w:marRight w:val="0"/>
      <w:marTop w:val="0"/>
      <w:marBottom w:val="0"/>
      <w:divBdr>
        <w:top w:val="none" w:sz="0" w:space="0" w:color="auto"/>
        <w:left w:val="none" w:sz="0" w:space="0" w:color="auto"/>
        <w:bottom w:val="none" w:sz="0" w:space="0" w:color="auto"/>
        <w:right w:val="none" w:sz="0" w:space="0" w:color="auto"/>
      </w:divBdr>
    </w:div>
    <w:div w:id="1299998200">
      <w:bodyDiv w:val="1"/>
      <w:marLeft w:val="0"/>
      <w:marRight w:val="0"/>
      <w:marTop w:val="0"/>
      <w:marBottom w:val="0"/>
      <w:divBdr>
        <w:top w:val="none" w:sz="0" w:space="0" w:color="auto"/>
        <w:left w:val="none" w:sz="0" w:space="0" w:color="auto"/>
        <w:bottom w:val="none" w:sz="0" w:space="0" w:color="auto"/>
        <w:right w:val="none" w:sz="0" w:space="0" w:color="auto"/>
      </w:divBdr>
    </w:div>
    <w:div w:id="1308242599">
      <w:bodyDiv w:val="1"/>
      <w:marLeft w:val="0"/>
      <w:marRight w:val="0"/>
      <w:marTop w:val="0"/>
      <w:marBottom w:val="0"/>
      <w:divBdr>
        <w:top w:val="none" w:sz="0" w:space="0" w:color="auto"/>
        <w:left w:val="none" w:sz="0" w:space="0" w:color="auto"/>
        <w:bottom w:val="none" w:sz="0" w:space="0" w:color="auto"/>
        <w:right w:val="none" w:sz="0" w:space="0" w:color="auto"/>
      </w:divBdr>
    </w:div>
    <w:div w:id="1339306666">
      <w:bodyDiv w:val="1"/>
      <w:marLeft w:val="0"/>
      <w:marRight w:val="0"/>
      <w:marTop w:val="0"/>
      <w:marBottom w:val="0"/>
      <w:divBdr>
        <w:top w:val="none" w:sz="0" w:space="0" w:color="auto"/>
        <w:left w:val="none" w:sz="0" w:space="0" w:color="auto"/>
        <w:bottom w:val="none" w:sz="0" w:space="0" w:color="auto"/>
        <w:right w:val="none" w:sz="0" w:space="0" w:color="auto"/>
      </w:divBdr>
    </w:div>
    <w:div w:id="1349287750">
      <w:bodyDiv w:val="1"/>
      <w:marLeft w:val="0"/>
      <w:marRight w:val="0"/>
      <w:marTop w:val="0"/>
      <w:marBottom w:val="0"/>
      <w:divBdr>
        <w:top w:val="none" w:sz="0" w:space="0" w:color="auto"/>
        <w:left w:val="none" w:sz="0" w:space="0" w:color="auto"/>
        <w:bottom w:val="none" w:sz="0" w:space="0" w:color="auto"/>
        <w:right w:val="none" w:sz="0" w:space="0" w:color="auto"/>
      </w:divBdr>
    </w:div>
    <w:div w:id="1363869981">
      <w:bodyDiv w:val="1"/>
      <w:marLeft w:val="0"/>
      <w:marRight w:val="0"/>
      <w:marTop w:val="0"/>
      <w:marBottom w:val="0"/>
      <w:divBdr>
        <w:top w:val="none" w:sz="0" w:space="0" w:color="auto"/>
        <w:left w:val="none" w:sz="0" w:space="0" w:color="auto"/>
        <w:bottom w:val="none" w:sz="0" w:space="0" w:color="auto"/>
        <w:right w:val="none" w:sz="0" w:space="0" w:color="auto"/>
      </w:divBdr>
    </w:div>
    <w:div w:id="1406492982">
      <w:bodyDiv w:val="1"/>
      <w:marLeft w:val="0"/>
      <w:marRight w:val="0"/>
      <w:marTop w:val="0"/>
      <w:marBottom w:val="0"/>
      <w:divBdr>
        <w:top w:val="none" w:sz="0" w:space="0" w:color="auto"/>
        <w:left w:val="none" w:sz="0" w:space="0" w:color="auto"/>
        <w:bottom w:val="none" w:sz="0" w:space="0" w:color="auto"/>
        <w:right w:val="none" w:sz="0" w:space="0" w:color="auto"/>
      </w:divBdr>
    </w:div>
    <w:div w:id="1418820379">
      <w:bodyDiv w:val="1"/>
      <w:marLeft w:val="0"/>
      <w:marRight w:val="0"/>
      <w:marTop w:val="0"/>
      <w:marBottom w:val="0"/>
      <w:divBdr>
        <w:top w:val="none" w:sz="0" w:space="0" w:color="auto"/>
        <w:left w:val="none" w:sz="0" w:space="0" w:color="auto"/>
        <w:bottom w:val="none" w:sz="0" w:space="0" w:color="auto"/>
        <w:right w:val="none" w:sz="0" w:space="0" w:color="auto"/>
      </w:divBdr>
    </w:div>
    <w:div w:id="1437864358">
      <w:bodyDiv w:val="1"/>
      <w:marLeft w:val="0"/>
      <w:marRight w:val="0"/>
      <w:marTop w:val="0"/>
      <w:marBottom w:val="0"/>
      <w:divBdr>
        <w:top w:val="none" w:sz="0" w:space="0" w:color="auto"/>
        <w:left w:val="none" w:sz="0" w:space="0" w:color="auto"/>
        <w:bottom w:val="none" w:sz="0" w:space="0" w:color="auto"/>
        <w:right w:val="none" w:sz="0" w:space="0" w:color="auto"/>
      </w:divBdr>
    </w:div>
    <w:div w:id="1446582747">
      <w:bodyDiv w:val="1"/>
      <w:marLeft w:val="0"/>
      <w:marRight w:val="0"/>
      <w:marTop w:val="0"/>
      <w:marBottom w:val="0"/>
      <w:divBdr>
        <w:top w:val="none" w:sz="0" w:space="0" w:color="auto"/>
        <w:left w:val="none" w:sz="0" w:space="0" w:color="auto"/>
        <w:bottom w:val="none" w:sz="0" w:space="0" w:color="auto"/>
        <w:right w:val="none" w:sz="0" w:space="0" w:color="auto"/>
      </w:divBdr>
    </w:div>
    <w:div w:id="1447845065">
      <w:bodyDiv w:val="1"/>
      <w:marLeft w:val="0"/>
      <w:marRight w:val="0"/>
      <w:marTop w:val="0"/>
      <w:marBottom w:val="0"/>
      <w:divBdr>
        <w:top w:val="none" w:sz="0" w:space="0" w:color="auto"/>
        <w:left w:val="none" w:sz="0" w:space="0" w:color="auto"/>
        <w:bottom w:val="none" w:sz="0" w:space="0" w:color="auto"/>
        <w:right w:val="none" w:sz="0" w:space="0" w:color="auto"/>
      </w:divBdr>
    </w:div>
    <w:div w:id="1458135466">
      <w:bodyDiv w:val="1"/>
      <w:marLeft w:val="0"/>
      <w:marRight w:val="0"/>
      <w:marTop w:val="0"/>
      <w:marBottom w:val="0"/>
      <w:divBdr>
        <w:top w:val="none" w:sz="0" w:space="0" w:color="auto"/>
        <w:left w:val="none" w:sz="0" w:space="0" w:color="auto"/>
        <w:bottom w:val="none" w:sz="0" w:space="0" w:color="auto"/>
        <w:right w:val="none" w:sz="0" w:space="0" w:color="auto"/>
      </w:divBdr>
    </w:div>
    <w:div w:id="1496336819">
      <w:bodyDiv w:val="1"/>
      <w:marLeft w:val="0"/>
      <w:marRight w:val="0"/>
      <w:marTop w:val="0"/>
      <w:marBottom w:val="0"/>
      <w:divBdr>
        <w:top w:val="none" w:sz="0" w:space="0" w:color="auto"/>
        <w:left w:val="none" w:sz="0" w:space="0" w:color="auto"/>
        <w:bottom w:val="none" w:sz="0" w:space="0" w:color="auto"/>
        <w:right w:val="none" w:sz="0" w:space="0" w:color="auto"/>
      </w:divBdr>
    </w:div>
    <w:div w:id="1516771868">
      <w:bodyDiv w:val="1"/>
      <w:marLeft w:val="0"/>
      <w:marRight w:val="0"/>
      <w:marTop w:val="0"/>
      <w:marBottom w:val="0"/>
      <w:divBdr>
        <w:top w:val="none" w:sz="0" w:space="0" w:color="auto"/>
        <w:left w:val="none" w:sz="0" w:space="0" w:color="auto"/>
        <w:bottom w:val="none" w:sz="0" w:space="0" w:color="auto"/>
        <w:right w:val="none" w:sz="0" w:space="0" w:color="auto"/>
      </w:divBdr>
    </w:div>
    <w:div w:id="1532306241">
      <w:bodyDiv w:val="1"/>
      <w:marLeft w:val="0"/>
      <w:marRight w:val="0"/>
      <w:marTop w:val="0"/>
      <w:marBottom w:val="0"/>
      <w:divBdr>
        <w:top w:val="none" w:sz="0" w:space="0" w:color="auto"/>
        <w:left w:val="none" w:sz="0" w:space="0" w:color="auto"/>
        <w:bottom w:val="none" w:sz="0" w:space="0" w:color="auto"/>
        <w:right w:val="none" w:sz="0" w:space="0" w:color="auto"/>
      </w:divBdr>
    </w:div>
    <w:div w:id="1589119865">
      <w:bodyDiv w:val="1"/>
      <w:marLeft w:val="0"/>
      <w:marRight w:val="0"/>
      <w:marTop w:val="0"/>
      <w:marBottom w:val="0"/>
      <w:divBdr>
        <w:top w:val="none" w:sz="0" w:space="0" w:color="auto"/>
        <w:left w:val="none" w:sz="0" w:space="0" w:color="auto"/>
        <w:bottom w:val="none" w:sz="0" w:space="0" w:color="auto"/>
        <w:right w:val="none" w:sz="0" w:space="0" w:color="auto"/>
      </w:divBdr>
    </w:div>
    <w:div w:id="1611667977">
      <w:bodyDiv w:val="1"/>
      <w:marLeft w:val="0"/>
      <w:marRight w:val="0"/>
      <w:marTop w:val="0"/>
      <w:marBottom w:val="0"/>
      <w:divBdr>
        <w:top w:val="none" w:sz="0" w:space="0" w:color="auto"/>
        <w:left w:val="none" w:sz="0" w:space="0" w:color="auto"/>
        <w:bottom w:val="none" w:sz="0" w:space="0" w:color="auto"/>
        <w:right w:val="none" w:sz="0" w:space="0" w:color="auto"/>
      </w:divBdr>
    </w:div>
    <w:div w:id="1637681109">
      <w:bodyDiv w:val="1"/>
      <w:marLeft w:val="0"/>
      <w:marRight w:val="0"/>
      <w:marTop w:val="0"/>
      <w:marBottom w:val="0"/>
      <w:divBdr>
        <w:top w:val="none" w:sz="0" w:space="0" w:color="auto"/>
        <w:left w:val="none" w:sz="0" w:space="0" w:color="auto"/>
        <w:bottom w:val="none" w:sz="0" w:space="0" w:color="auto"/>
        <w:right w:val="none" w:sz="0" w:space="0" w:color="auto"/>
      </w:divBdr>
    </w:div>
    <w:div w:id="1640577466">
      <w:bodyDiv w:val="1"/>
      <w:marLeft w:val="0"/>
      <w:marRight w:val="0"/>
      <w:marTop w:val="0"/>
      <w:marBottom w:val="0"/>
      <w:divBdr>
        <w:top w:val="none" w:sz="0" w:space="0" w:color="auto"/>
        <w:left w:val="none" w:sz="0" w:space="0" w:color="auto"/>
        <w:bottom w:val="none" w:sz="0" w:space="0" w:color="auto"/>
        <w:right w:val="none" w:sz="0" w:space="0" w:color="auto"/>
      </w:divBdr>
    </w:div>
    <w:div w:id="1640722471">
      <w:bodyDiv w:val="1"/>
      <w:marLeft w:val="0"/>
      <w:marRight w:val="0"/>
      <w:marTop w:val="0"/>
      <w:marBottom w:val="0"/>
      <w:divBdr>
        <w:top w:val="none" w:sz="0" w:space="0" w:color="auto"/>
        <w:left w:val="none" w:sz="0" w:space="0" w:color="auto"/>
        <w:bottom w:val="none" w:sz="0" w:space="0" w:color="auto"/>
        <w:right w:val="none" w:sz="0" w:space="0" w:color="auto"/>
      </w:divBdr>
    </w:div>
    <w:div w:id="1659573643">
      <w:bodyDiv w:val="1"/>
      <w:marLeft w:val="0"/>
      <w:marRight w:val="0"/>
      <w:marTop w:val="0"/>
      <w:marBottom w:val="0"/>
      <w:divBdr>
        <w:top w:val="none" w:sz="0" w:space="0" w:color="auto"/>
        <w:left w:val="none" w:sz="0" w:space="0" w:color="auto"/>
        <w:bottom w:val="none" w:sz="0" w:space="0" w:color="auto"/>
        <w:right w:val="none" w:sz="0" w:space="0" w:color="auto"/>
      </w:divBdr>
    </w:div>
    <w:div w:id="1738552608">
      <w:bodyDiv w:val="1"/>
      <w:marLeft w:val="0"/>
      <w:marRight w:val="0"/>
      <w:marTop w:val="0"/>
      <w:marBottom w:val="0"/>
      <w:divBdr>
        <w:top w:val="none" w:sz="0" w:space="0" w:color="auto"/>
        <w:left w:val="none" w:sz="0" w:space="0" w:color="auto"/>
        <w:bottom w:val="none" w:sz="0" w:space="0" w:color="auto"/>
        <w:right w:val="none" w:sz="0" w:space="0" w:color="auto"/>
      </w:divBdr>
    </w:div>
    <w:div w:id="1753775183">
      <w:bodyDiv w:val="1"/>
      <w:marLeft w:val="0"/>
      <w:marRight w:val="0"/>
      <w:marTop w:val="0"/>
      <w:marBottom w:val="0"/>
      <w:divBdr>
        <w:top w:val="none" w:sz="0" w:space="0" w:color="auto"/>
        <w:left w:val="none" w:sz="0" w:space="0" w:color="auto"/>
        <w:bottom w:val="none" w:sz="0" w:space="0" w:color="auto"/>
        <w:right w:val="none" w:sz="0" w:space="0" w:color="auto"/>
      </w:divBdr>
    </w:div>
    <w:div w:id="1858304855">
      <w:bodyDiv w:val="1"/>
      <w:marLeft w:val="0"/>
      <w:marRight w:val="0"/>
      <w:marTop w:val="0"/>
      <w:marBottom w:val="0"/>
      <w:divBdr>
        <w:top w:val="none" w:sz="0" w:space="0" w:color="auto"/>
        <w:left w:val="none" w:sz="0" w:space="0" w:color="auto"/>
        <w:bottom w:val="none" w:sz="0" w:space="0" w:color="auto"/>
        <w:right w:val="none" w:sz="0" w:space="0" w:color="auto"/>
      </w:divBdr>
    </w:div>
    <w:div w:id="1891728237">
      <w:bodyDiv w:val="1"/>
      <w:marLeft w:val="0"/>
      <w:marRight w:val="0"/>
      <w:marTop w:val="0"/>
      <w:marBottom w:val="0"/>
      <w:divBdr>
        <w:top w:val="none" w:sz="0" w:space="0" w:color="auto"/>
        <w:left w:val="none" w:sz="0" w:space="0" w:color="auto"/>
        <w:bottom w:val="none" w:sz="0" w:space="0" w:color="auto"/>
        <w:right w:val="none" w:sz="0" w:space="0" w:color="auto"/>
      </w:divBdr>
    </w:div>
    <w:div w:id="1912615211">
      <w:bodyDiv w:val="1"/>
      <w:marLeft w:val="0"/>
      <w:marRight w:val="0"/>
      <w:marTop w:val="0"/>
      <w:marBottom w:val="0"/>
      <w:divBdr>
        <w:top w:val="none" w:sz="0" w:space="0" w:color="auto"/>
        <w:left w:val="none" w:sz="0" w:space="0" w:color="auto"/>
        <w:bottom w:val="none" w:sz="0" w:space="0" w:color="auto"/>
        <w:right w:val="none" w:sz="0" w:space="0" w:color="auto"/>
      </w:divBdr>
    </w:div>
    <w:div w:id="1920944277">
      <w:bodyDiv w:val="1"/>
      <w:marLeft w:val="0"/>
      <w:marRight w:val="0"/>
      <w:marTop w:val="0"/>
      <w:marBottom w:val="0"/>
      <w:divBdr>
        <w:top w:val="none" w:sz="0" w:space="0" w:color="auto"/>
        <w:left w:val="none" w:sz="0" w:space="0" w:color="auto"/>
        <w:bottom w:val="none" w:sz="0" w:space="0" w:color="auto"/>
        <w:right w:val="none" w:sz="0" w:space="0" w:color="auto"/>
      </w:divBdr>
    </w:div>
    <w:div w:id="1946693174">
      <w:bodyDiv w:val="1"/>
      <w:marLeft w:val="0"/>
      <w:marRight w:val="0"/>
      <w:marTop w:val="0"/>
      <w:marBottom w:val="0"/>
      <w:divBdr>
        <w:top w:val="none" w:sz="0" w:space="0" w:color="auto"/>
        <w:left w:val="none" w:sz="0" w:space="0" w:color="auto"/>
        <w:bottom w:val="none" w:sz="0" w:space="0" w:color="auto"/>
        <w:right w:val="none" w:sz="0" w:space="0" w:color="auto"/>
      </w:divBdr>
    </w:div>
    <w:div w:id="1951861930">
      <w:bodyDiv w:val="1"/>
      <w:marLeft w:val="0"/>
      <w:marRight w:val="0"/>
      <w:marTop w:val="0"/>
      <w:marBottom w:val="0"/>
      <w:divBdr>
        <w:top w:val="none" w:sz="0" w:space="0" w:color="auto"/>
        <w:left w:val="none" w:sz="0" w:space="0" w:color="auto"/>
        <w:bottom w:val="none" w:sz="0" w:space="0" w:color="auto"/>
        <w:right w:val="none" w:sz="0" w:space="0" w:color="auto"/>
      </w:divBdr>
    </w:div>
    <w:div w:id="1957059313">
      <w:bodyDiv w:val="1"/>
      <w:marLeft w:val="0"/>
      <w:marRight w:val="0"/>
      <w:marTop w:val="0"/>
      <w:marBottom w:val="0"/>
      <w:divBdr>
        <w:top w:val="none" w:sz="0" w:space="0" w:color="auto"/>
        <w:left w:val="none" w:sz="0" w:space="0" w:color="auto"/>
        <w:bottom w:val="none" w:sz="0" w:space="0" w:color="auto"/>
        <w:right w:val="none" w:sz="0" w:space="0" w:color="auto"/>
      </w:divBdr>
    </w:div>
    <w:div w:id="1986886597">
      <w:bodyDiv w:val="1"/>
      <w:marLeft w:val="0"/>
      <w:marRight w:val="0"/>
      <w:marTop w:val="0"/>
      <w:marBottom w:val="0"/>
      <w:divBdr>
        <w:top w:val="none" w:sz="0" w:space="0" w:color="auto"/>
        <w:left w:val="none" w:sz="0" w:space="0" w:color="auto"/>
        <w:bottom w:val="none" w:sz="0" w:space="0" w:color="auto"/>
        <w:right w:val="none" w:sz="0" w:space="0" w:color="auto"/>
      </w:divBdr>
    </w:div>
    <w:div w:id="2007049816">
      <w:bodyDiv w:val="1"/>
      <w:marLeft w:val="0"/>
      <w:marRight w:val="0"/>
      <w:marTop w:val="0"/>
      <w:marBottom w:val="0"/>
      <w:divBdr>
        <w:top w:val="none" w:sz="0" w:space="0" w:color="auto"/>
        <w:left w:val="none" w:sz="0" w:space="0" w:color="auto"/>
        <w:bottom w:val="none" w:sz="0" w:space="0" w:color="auto"/>
        <w:right w:val="none" w:sz="0" w:space="0" w:color="auto"/>
      </w:divBdr>
    </w:div>
    <w:div w:id="2013413219">
      <w:bodyDiv w:val="1"/>
      <w:marLeft w:val="0"/>
      <w:marRight w:val="0"/>
      <w:marTop w:val="0"/>
      <w:marBottom w:val="0"/>
      <w:divBdr>
        <w:top w:val="none" w:sz="0" w:space="0" w:color="auto"/>
        <w:left w:val="none" w:sz="0" w:space="0" w:color="auto"/>
        <w:bottom w:val="none" w:sz="0" w:space="0" w:color="auto"/>
        <w:right w:val="none" w:sz="0" w:space="0" w:color="auto"/>
      </w:divBdr>
    </w:div>
    <w:div w:id="2073770293">
      <w:bodyDiv w:val="1"/>
      <w:marLeft w:val="0"/>
      <w:marRight w:val="0"/>
      <w:marTop w:val="0"/>
      <w:marBottom w:val="0"/>
      <w:divBdr>
        <w:top w:val="none" w:sz="0" w:space="0" w:color="auto"/>
        <w:left w:val="none" w:sz="0" w:space="0" w:color="auto"/>
        <w:bottom w:val="none" w:sz="0" w:space="0" w:color="auto"/>
        <w:right w:val="none" w:sz="0" w:space="0" w:color="auto"/>
      </w:divBdr>
    </w:div>
    <w:div w:id="2075084240">
      <w:bodyDiv w:val="1"/>
      <w:marLeft w:val="0"/>
      <w:marRight w:val="0"/>
      <w:marTop w:val="0"/>
      <w:marBottom w:val="0"/>
      <w:divBdr>
        <w:top w:val="none" w:sz="0" w:space="0" w:color="auto"/>
        <w:left w:val="none" w:sz="0" w:space="0" w:color="auto"/>
        <w:bottom w:val="none" w:sz="0" w:space="0" w:color="auto"/>
        <w:right w:val="none" w:sz="0" w:space="0" w:color="auto"/>
      </w:divBdr>
    </w:div>
    <w:div w:id="2084717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Excel_Worksheet2.xls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440p\Desktop\cipc%20gap%20analysis.dotx" TargetMode="External"/></Relationships>
</file>

<file path=word/theme/theme1.xml><?xml version="1.0" encoding="utf-8"?>
<a:theme xmlns:a="http://schemas.openxmlformats.org/drawingml/2006/main" name="Office Theme">
  <a:themeElements>
    <a:clrScheme name="COLORS BRAG">
      <a:dk1>
        <a:srgbClr val="FFFFFF"/>
      </a:dk1>
      <a:lt1>
        <a:srgbClr val="3369A9"/>
      </a:lt1>
      <a:dk2>
        <a:srgbClr val="CCC9CB"/>
      </a:dk2>
      <a:lt2>
        <a:srgbClr val="575756"/>
      </a:lt2>
      <a:accent1>
        <a:srgbClr val="6B56A0"/>
      </a:accent1>
      <a:accent2>
        <a:srgbClr val="A1AED4"/>
      </a:accent2>
      <a:accent3>
        <a:srgbClr val="B6DAF5"/>
      </a:accent3>
      <a:accent4>
        <a:srgbClr val="B2A7D2"/>
      </a:accent4>
      <a:accent5>
        <a:srgbClr val="B2B2B2"/>
      </a:accent5>
      <a:accent6>
        <a:srgbClr val="E4E3E4"/>
      </a:accent6>
      <a:hlink>
        <a:srgbClr val="3369A9"/>
      </a:hlink>
      <a:folHlink>
        <a:srgbClr val="6B56A0"/>
      </a:folHlink>
    </a:clrScheme>
    <a:fontScheme name="BRAG - fonts">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E57F790408DF46BEC4970AC2713912" ma:contentTypeVersion="15" ma:contentTypeDescription="Create a new document." ma:contentTypeScope="" ma:versionID="54b1ce17d7c9f2b035d752b1318ba658">
  <xsd:schema xmlns:xsd="http://www.w3.org/2001/XMLSchema" xmlns:xs="http://www.w3.org/2001/XMLSchema" xmlns:p="http://schemas.microsoft.com/office/2006/metadata/properties" xmlns:ns2="228c8116-4942-43e2-94bb-7a2335f7cb6d" xmlns:ns3="764f19cc-79a2-433f-86e6-a630f8c816cf" targetNamespace="http://schemas.microsoft.com/office/2006/metadata/properties" ma:root="true" ma:fieldsID="3df494773f742ccd33a9fb4bb95a857e" ns2:_="" ns3:_="">
    <xsd:import namespace="228c8116-4942-43e2-94bb-7a2335f7cb6d"/>
    <xsd:import namespace="764f19cc-79a2-433f-86e6-a630f8c816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c8116-4942-43e2-94bb-7a2335f7c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4f19cc-79a2-433f-86e6-a630f8c816c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43B0AD-13CA-4140-BBE8-7D1C289CBC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07CFC9-9045-422F-9F4C-784C6F887A43}">
  <ds:schemaRefs>
    <ds:schemaRef ds:uri="http://schemas.openxmlformats.org/officeDocument/2006/bibliography"/>
  </ds:schemaRefs>
</ds:datastoreItem>
</file>

<file path=customXml/itemProps3.xml><?xml version="1.0" encoding="utf-8"?>
<ds:datastoreItem xmlns:ds="http://schemas.openxmlformats.org/officeDocument/2006/customXml" ds:itemID="{44F127D5-4E85-4A04-8019-566DED54AC76}">
  <ds:schemaRefs>
    <ds:schemaRef ds:uri="http://schemas.microsoft.com/sharepoint/v3/contenttype/forms"/>
  </ds:schemaRefs>
</ds:datastoreItem>
</file>

<file path=customXml/itemProps4.xml><?xml version="1.0" encoding="utf-8"?>
<ds:datastoreItem xmlns:ds="http://schemas.openxmlformats.org/officeDocument/2006/customXml" ds:itemID="{1A23C620-DB8B-49D4-A029-B7AF7D5ED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c8116-4942-43e2-94bb-7a2335f7cb6d"/>
    <ds:schemaRef ds:uri="764f19cc-79a2-433f-86e6-a630f8c816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cipc gap analysis</Template>
  <TotalTime>1</TotalTime>
  <Pages>12</Pages>
  <Words>3038</Words>
  <Characters>17321</Characters>
  <Application>Microsoft Office Word</Application>
  <DocSecurity>0</DocSecurity>
  <Lines>144</Lines>
  <Paragraphs>40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20319</CharactersWithSpaces>
  <SharedDoc>false</SharedDoc>
  <HLinks>
    <vt:vector size="144" baseType="variant">
      <vt:variant>
        <vt:i4>1114163</vt:i4>
      </vt:variant>
      <vt:variant>
        <vt:i4>128</vt:i4>
      </vt:variant>
      <vt:variant>
        <vt:i4>0</vt:i4>
      </vt:variant>
      <vt:variant>
        <vt:i4>5</vt:i4>
      </vt:variant>
      <vt:variant>
        <vt:lpwstr/>
      </vt:variant>
      <vt:variant>
        <vt:lpwstr>_Toc15634505</vt:lpwstr>
      </vt:variant>
      <vt:variant>
        <vt:i4>1638453</vt:i4>
      </vt:variant>
      <vt:variant>
        <vt:i4>122</vt:i4>
      </vt:variant>
      <vt:variant>
        <vt:i4>0</vt:i4>
      </vt:variant>
      <vt:variant>
        <vt:i4>5</vt:i4>
      </vt:variant>
      <vt:variant>
        <vt:lpwstr/>
      </vt:variant>
      <vt:variant>
        <vt:lpwstr>_Toc324902277</vt:lpwstr>
      </vt:variant>
      <vt:variant>
        <vt:i4>2424839</vt:i4>
      </vt:variant>
      <vt:variant>
        <vt:i4>116</vt:i4>
      </vt:variant>
      <vt:variant>
        <vt:i4>0</vt:i4>
      </vt:variant>
      <vt:variant>
        <vt:i4>5</vt:i4>
      </vt:variant>
      <vt:variant>
        <vt:lpwstr/>
      </vt:variant>
      <vt:variant>
        <vt:lpwstr>_Toc1028780032</vt:lpwstr>
      </vt:variant>
      <vt:variant>
        <vt:i4>2883586</vt:i4>
      </vt:variant>
      <vt:variant>
        <vt:i4>110</vt:i4>
      </vt:variant>
      <vt:variant>
        <vt:i4>0</vt:i4>
      </vt:variant>
      <vt:variant>
        <vt:i4>5</vt:i4>
      </vt:variant>
      <vt:variant>
        <vt:lpwstr/>
      </vt:variant>
      <vt:variant>
        <vt:lpwstr>_Toc1782586680</vt:lpwstr>
      </vt:variant>
      <vt:variant>
        <vt:i4>2555916</vt:i4>
      </vt:variant>
      <vt:variant>
        <vt:i4>104</vt:i4>
      </vt:variant>
      <vt:variant>
        <vt:i4>0</vt:i4>
      </vt:variant>
      <vt:variant>
        <vt:i4>5</vt:i4>
      </vt:variant>
      <vt:variant>
        <vt:lpwstr/>
      </vt:variant>
      <vt:variant>
        <vt:lpwstr>_Toc1544130684</vt:lpwstr>
      </vt:variant>
      <vt:variant>
        <vt:i4>2293775</vt:i4>
      </vt:variant>
      <vt:variant>
        <vt:i4>98</vt:i4>
      </vt:variant>
      <vt:variant>
        <vt:i4>0</vt:i4>
      </vt:variant>
      <vt:variant>
        <vt:i4>5</vt:i4>
      </vt:variant>
      <vt:variant>
        <vt:lpwstr/>
      </vt:variant>
      <vt:variant>
        <vt:lpwstr>_Toc1227468403</vt:lpwstr>
      </vt:variant>
      <vt:variant>
        <vt:i4>2555913</vt:i4>
      </vt:variant>
      <vt:variant>
        <vt:i4>92</vt:i4>
      </vt:variant>
      <vt:variant>
        <vt:i4>0</vt:i4>
      </vt:variant>
      <vt:variant>
        <vt:i4>5</vt:i4>
      </vt:variant>
      <vt:variant>
        <vt:lpwstr/>
      </vt:variant>
      <vt:variant>
        <vt:lpwstr>_Toc2003290399</vt:lpwstr>
      </vt:variant>
      <vt:variant>
        <vt:i4>1638459</vt:i4>
      </vt:variant>
      <vt:variant>
        <vt:i4>86</vt:i4>
      </vt:variant>
      <vt:variant>
        <vt:i4>0</vt:i4>
      </vt:variant>
      <vt:variant>
        <vt:i4>5</vt:i4>
      </vt:variant>
      <vt:variant>
        <vt:lpwstr/>
      </vt:variant>
      <vt:variant>
        <vt:lpwstr>_Toc856250094</vt:lpwstr>
      </vt:variant>
      <vt:variant>
        <vt:i4>1507377</vt:i4>
      </vt:variant>
      <vt:variant>
        <vt:i4>80</vt:i4>
      </vt:variant>
      <vt:variant>
        <vt:i4>0</vt:i4>
      </vt:variant>
      <vt:variant>
        <vt:i4>5</vt:i4>
      </vt:variant>
      <vt:variant>
        <vt:lpwstr/>
      </vt:variant>
      <vt:variant>
        <vt:lpwstr>_Toc576947690</vt:lpwstr>
      </vt:variant>
      <vt:variant>
        <vt:i4>2883597</vt:i4>
      </vt:variant>
      <vt:variant>
        <vt:i4>74</vt:i4>
      </vt:variant>
      <vt:variant>
        <vt:i4>0</vt:i4>
      </vt:variant>
      <vt:variant>
        <vt:i4>5</vt:i4>
      </vt:variant>
      <vt:variant>
        <vt:lpwstr/>
      </vt:variant>
      <vt:variant>
        <vt:lpwstr>_Toc1196246119</vt:lpwstr>
      </vt:variant>
      <vt:variant>
        <vt:i4>3014658</vt:i4>
      </vt:variant>
      <vt:variant>
        <vt:i4>68</vt:i4>
      </vt:variant>
      <vt:variant>
        <vt:i4>0</vt:i4>
      </vt:variant>
      <vt:variant>
        <vt:i4>5</vt:i4>
      </vt:variant>
      <vt:variant>
        <vt:lpwstr/>
      </vt:variant>
      <vt:variant>
        <vt:lpwstr>_Toc1065282753</vt:lpwstr>
      </vt:variant>
      <vt:variant>
        <vt:i4>2359301</vt:i4>
      </vt:variant>
      <vt:variant>
        <vt:i4>62</vt:i4>
      </vt:variant>
      <vt:variant>
        <vt:i4>0</vt:i4>
      </vt:variant>
      <vt:variant>
        <vt:i4>5</vt:i4>
      </vt:variant>
      <vt:variant>
        <vt:lpwstr/>
      </vt:variant>
      <vt:variant>
        <vt:lpwstr>_Toc1723557143</vt:lpwstr>
      </vt:variant>
      <vt:variant>
        <vt:i4>2818057</vt:i4>
      </vt:variant>
      <vt:variant>
        <vt:i4>56</vt:i4>
      </vt:variant>
      <vt:variant>
        <vt:i4>0</vt:i4>
      </vt:variant>
      <vt:variant>
        <vt:i4>5</vt:i4>
      </vt:variant>
      <vt:variant>
        <vt:lpwstr/>
      </vt:variant>
      <vt:variant>
        <vt:lpwstr>_Toc1684262901</vt:lpwstr>
      </vt:variant>
      <vt:variant>
        <vt:i4>1572917</vt:i4>
      </vt:variant>
      <vt:variant>
        <vt:i4>50</vt:i4>
      </vt:variant>
      <vt:variant>
        <vt:i4>0</vt:i4>
      </vt:variant>
      <vt:variant>
        <vt:i4>5</vt:i4>
      </vt:variant>
      <vt:variant>
        <vt:lpwstr/>
      </vt:variant>
      <vt:variant>
        <vt:lpwstr>_Toc590233370</vt:lpwstr>
      </vt:variant>
      <vt:variant>
        <vt:i4>2359302</vt:i4>
      </vt:variant>
      <vt:variant>
        <vt:i4>44</vt:i4>
      </vt:variant>
      <vt:variant>
        <vt:i4>0</vt:i4>
      </vt:variant>
      <vt:variant>
        <vt:i4>5</vt:i4>
      </vt:variant>
      <vt:variant>
        <vt:lpwstr/>
      </vt:variant>
      <vt:variant>
        <vt:lpwstr>_Toc1057114075</vt:lpwstr>
      </vt:variant>
      <vt:variant>
        <vt:i4>1835056</vt:i4>
      </vt:variant>
      <vt:variant>
        <vt:i4>38</vt:i4>
      </vt:variant>
      <vt:variant>
        <vt:i4>0</vt:i4>
      </vt:variant>
      <vt:variant>
        <vt:i4>5</vt:i4>
      </vt:variant>
      <vt:variant>
        <vt:lpwstr/>
      </vt:variant>
      <vt:variant>
        <vt:lpwstr>_Toc414241495</vt:lpwstr>
      </vt:variant>
      <vt:variant>
        <vt:i4>2752521</vt:i4>
      </vt:variant>
      <vt:variant>
        <vt:i4>32</vt:i4>
      </vt:variant>
      <vt:variant>
        <vt:i4>0</vt:i4>
      </vt:variant>
      <vt:variant>
        <vt:i4>5</vt:i4>
      </vt:variant>
      <vt:variant>
        <vt:lpwstr/>
      </vt:variant>
      <vt:variant>
        <vt:lpwstr>_Toc1997366643</vt:lpwstr>
      </vt:variant>
      <vt:variant>
        <vt:i4>2228231</vt:i4>
      </vt:variant>
      <vt:variant>
        <vt:i4>26</vt:i4>
      </vt:variant>
      <vt:variant>
        <vt:i4>0</vt:i4>
      </vt:variant>
      <vt:variant>
        <vt:i4>5</vt:i4>
      </vt:variant>
      <vt:variant>
        <vt:lpwstr/>
      </vt:variant>
      <vt:variant>
        <vt:lpwstr>_Toc1365586833</vt:lpwstr>
      </vt:variant>
      <vt:variant>
        <vt:i4>1310773</vt:i4>
      </vt:variant>
      <vt:variant>
        <vt:i4>20</vt:i4>
      </vt:variant>
      <vt:variant>
        <vt:i4>0</vt:i4>
      </vt:variant>
      <vt:variant>
        <vt:i4>5</vt:i4>
      </vt:variant>
      <vt:variant>
        <vt:lpwstr/>
      </vt:variant>
      <vt:variant>
        <vt:lpwstr>_Toc35777362</vt:lpwstr>
      </vt:variant>
      <vt:variant>
        <vt:i4>1441847</vt:i4>
      </vt:variant>
      <vt:variant>
        <vt:i4>14</vt:i4>
      </vt:variant>
      <vt:variant>
        <vt:i4>0</vt:i4>
      </vt:variant>
      <vt:variant>
        <vt:i4>5</vt:i4>
      </vt:variant>
      <vt:variant>
        <vt:lpwstr/>
      </vt:variant>
      <vt:variant>
        <vt:lpwstr>_Toc970765847</vt:lpwstr>
      </vt:variant>
      <vt:variant>
        <vt:i4>1048625</vt:i4>
      </vt:variant>
      <vt:variant>
        <vt:i4>8</vt:i4>
      </vt:variant>
      <vt:variant>
        <vt:i4>0</vt:i4>
      </vt:variant>
      <vt:variant>
        <vt:i4>5</vt:i4>
      </vt:variant>
      <vt:variant>
        <vt:lpwstr/>
      </vt:variant>
      <vt:variant>
        <vt:lpwstr>_Toc117451236</vt:lpwstr>
      </vt:variant>
      <vt:variant>
        <vt:i4>1179700</vt:i4>
      </vt:variant>
      <vt:variant>
        <vt:i4>2</vt:i4>
      </vt:variant>
      <vt:variant>
        <vt:i4>0</vt:i4>
      </vt:variant>
      <vt:variant>
        <vt:i4>5</vt:i4>
      </vt:variant>
      <vt:variant>
        <vt:lpwstr/>
      </vt:variant>
      <vt:variant>
        <vt:lpwstr>_Toc741851780</vt:lpwstr>
      </vt:variant>
      <vt:variant>
        <vt:i4>6291560</vt:i4>
      </vt:variant>
      <vt:variant>
        <vt:i4>0</vt:i4>
      </vt:variant>
      <vt:variant>
        <vt:i4>0</vt:i4>
      </vt:variant>
      <vt:variant>
        <vt:i4>5</vt:i4>
      </vt:variant>
      <vt:variant>
        <vt:lpwstr>https://www.ifrs.org/issued-standards/ifrs-taxonomy/ifrs-accounting-taxonomy-2023/</vt:lpwstr>
      </vt:variant>
      <vt:variant>
        <vt:lpwstr/>
      </vt:variant>
      <vt:variant>
        <vt:i4>2949131</vt:i4>
      </vt:variant>
      <vt:variant>
        <vt:i4>0</vt:i4>
      </vt:variant>
      <vt:variant>
        <vt:i4>0</vt:i4>
      </vt:variant>
      <vt:variant>
        <vt:i4>5</vt:i4>
      </vt:variant>
      <vt:variant>
        <vt:lpwstr>mailto:lukasz.wojciechowski@br-ag.eu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Zubrycki</dc:creator>
  <cp:keywords/>
  <cp:lastModifiedBy>Tintswalo Mawila</cp:lastModifiedBy>
  <cp:revision>2</cp:revision>
  <dcterms:created xsi:type="dcterms:W3CDTF">2025-04-28T22:12:00Z</dcterms:created>
  <dcterms:modified xsi:type="dcterms:W3CDTF">2025-04-28T22:12:00Z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Adobe InDesign CC 13.0 (Windows)</vt:lpwstr>
  </property>
  <property fmtid="{D5CDD505-2E9C-101B-9397-08002B2CF9AE}" pid="4" name="LastSaved">
    <vt:filetime>2018-02-05T00:00:00Z</vt:filetime>
  </property>
  <property fmtid="{D5CDD505-2E9C-101B-9397-08002B2CF9AE}" pid="5" name="DLPManualFileClassification">
    <vt:lpwstr>{1A067545-A4E2-4FA1-8094-0D7902669705}</vt:lpwstr>
  </property>
  <property fmtid="{D5CDD505-2E9C-101B-9397-08002B2CF9AE}" pid="6" name="DLPManualFileClassificationLastModifiedBy">
    <vt:lpwstr>CIPROZA\JMathekga</vt:lpwstr>
  </property>
  <property fmtid="{D5CDD505-2E9C-101B-9397-08002B2CF9AE}" pid="7" name="DLPManualFileClassificationLastModificationDate">
    <vt:lpwstr>1521728950</vt:lpwstr>
  </property>
  <property fmtid="{D5CDD505-2E9C-101B-9397-08002B2CF9AE}" pid="8" name="DLPManualFileClassificationVersion">
    <vt:lpwstr>11.0.2.3</vt:lpwstr>
  </property>
  <property fmtid="{D5CDD505-2E9C-101B-9397-08002B2CF9AE}" pid="9" name="ContentTypeId">
    <vt:lpwstr>0x010100DAE57F790408DF46BEC4970AC2713912</vt:lpwstr>
  </property>
</Properties>
</file>